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69" w:rsidRPr="00701769" w:rsidRDefault="00701769" w:rsidP="00701769">
      <w:pPr>
        <w:spacing w:before="100" w:beforeAutospacing="1" w:after="100" w:afterAutospacing="1" w:line="360" w:lineRule="auto"/>
        <w:jc w:val="center"/>
        <w:rPr>
          <w:rFonts w:ascii="Times New Roman" w:eastAsia="Times New Roman" w:hAnsi="Times New Roman" w:cs="Times New Roman"/>
          <w:b/>
          <w:bCs/>
          <w:lang w:eastAsia="es-ES_tradnl"/>
        </w:rPr>
      </w:pPr>
      <w:bookmarkStart w:id="0" w:name="_GoBack"/>
      <w:bookmarkEnd w:id="0"/>
      <w:r w:rsidRPr="00701769">
        <w:rPr>
          <w:rFonts w:ascii="Arial" w:eastAsia="Times New Roman" w:hAnsi="Arial" w:cs="Arial"/>
          <w:b/>
          <w:bCs/>
          <w:lang w:eastAsia="es-ES_tradnl"/>
        </w:rPr>
        <w:t>PAUTAS SOBRE EL PLAN DE LIQUIDACIÓN</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Las pautas sobre el plan de liquidación que a continuación se exponen, son el resultado del consenso alcanzado en el grupo de trabajo constituido por los integrantes de los siguientes Juzgados Mercantiles: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Juzgados Mercantil de Almería.</w:t>
      </w:r>
      <w:r w:rsidRPr="00701769">
        <w:rPr>
          <w:rFonts w:ascii="Arial" w:eastAsia="Times New Roman" w:hAnsi="Arial" w:cs="Arial"/>
          <w:color w:val="000007"/>
          <w:lang w:eastAsia="es-ES_tradnl"/>
        </w:rPr>
        <w:br/>
        <w:t>Juzgado Mercantil de Badajoz.</w:t>
      </w:r>
      <w:r w:rsidRPr="00701769">
        <w:rPr>
          <w:rFonts w:ascii="Arial" w:eastAsia="Times New Roman" w:hAnsi="Arial" w:cs="Arial"/>
          <w:color w:val="000007"/>
          <w:lang w:eastAsia="es-ES_tradnl"/>
        </w:rPr>
        <w:br/>
        <w:t>Juzgado Mercantil de Cádiz.</w:t>
      </w:r>
      <w:r w:rsidRPr="00701769">
        <w:rPr>
          <w:rFonts w:ascii="Arial" w:eastAsia="Times New Roman" w:hAnsi="Arial" w:cs="Arial"/>
          <w:color w:val="000007"/>
          <w:lang w:eastAsia="es-ES_tradnl"/>
        </w:rPr>
        <w:br/>
        <w:t>Juzgado Mercantil de Ceuta.</w:t>
      </w:r>
      <w:r w:rsidRPr="00701769">
        <w:rPr>
          <w:rFonts w:ascii="Arial" w:eastAsia="Times New Roman" w:hAnsi="Arial" w:cs="Arial"/>
          <w:color w:val="000007"/>
          <w:lang w:eastAsia="es-ES_tradnl"/>
        </w:rPr>
        <w:br/>
        <w:t>Juzgado Mercantil de Córdoba.</w:t>
      </w:r>
      <w:r w:rsidRPr="00701769">
        <w:rPr>
          <w:rFonts w:ascii="Arial" w:eastAsia="Times New Roman" w:hAnsi="Arial" w:cs="Arial"/>
          <w:color w:val="000007"/>
          <w:lang w:eastAsia="es-ES_tradnl"/>
        </w:rPr>
        <w:br/>
        <w:t>Magistrada de Refuerzo Juzgado Mercantil de Granada Juzgado Mercantil de Huelva. Juzgado Mercantil de Jaén.</w:t>
      </w:r>
      <w:r w:rsidRPr="00701769">
        <w:rPr>
          <w:rFonts w:ascii="Arial" w:eastAsia="Times New Roman" w:hAnsi="Arial" w:cs="Arial"/>
          <w:color w:val="000007"/>
          <w:lang w:eastAsia="es-ES_tradnl"/>
        </w:rPr>
        <w:br/>
        <w:t xml:space="preserve">Juzgado Mercantil n.o 1 y 2 de Málaga. Juzgado Mercantil n.o 1 , 2 y 3 de Sevilla. </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La finalidad de las estas normas es la de ordenar y agilizar el proceso de liquidación en un contexto como el actual, en el que la crisis económica derivada de la pandemia del COVID-19 se presenta como una consecuencia inevitable que, desde la perspectiva de los juzgados de lo mercantil, es preciso afrontar anticipándonos a los problemas y obstáculos que, con la experiencia de la anterior crisis económica, prevemos que se van a volver a presentar. </w:t>
      </w:r>
    </w:p>
    <w:p w:rsidR="00701769" w:rsidRPr="00DA109E" w:rsidRDefault="00701769" w:rsidP="00DA109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Se pretende conseguir que, </w:t>
      </w:r>
      <w:r w:rsidRPr="00701769">
        <w:rPr>
          <w:rFonts w:ascii="Arial" w:eastAsia="Times New Roman" w:hAnsi="Arial" w:cs="Arial"/>
          <w:color w:val="000007"/>
          <w:u w:val="single"/>
          <w:lang w:eastAsia="es-ES_tradnl"/>
        </w:rPr>
        <w:t>con independencia de las especificidades de cada concurso, la fase de liquidación responda a una estructura común.</w:t>
      </w:r>
      <w:r w:rsidRPr="00701769">
        <w:rPr>
          <w:rFonts w:ascii="Arial" w:eastAsia="Times New Roman" w:hAnsi="Arial" w:cs="Arial"/>
          <w:color w:val="000007"/>
          <w:lang w:eastAsia="es-ES_tradnl"/>
        </w:rPr>
        <w:t xml:space="preserve"> Para alcanzar este resultado las normas de liquidación que se exponen constituyen una guía de actuación cuya aplicación se recomienda incluir en los planes de liquidación que se presenten en los distintos procedimientos concursales. </w:t>
      </w:r>
    </w:p>
    <w:p w:rsid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PAUTAS SOBRE EL PLAN DE LIQUIDACIÓN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color w:val="000007"/>
          <w:lang w:eastAsia="es-ES_tradnl"/>
        </w:rPr>
        <w:t xml:space="preserve">Para una mejor </w:t>
      </w:r>
      <w:r w:rsidR="006B5763" w:rsidRPr="00701769">
        <w:rPr>
          <w:rFonts w:ascii="Arial" w:eastAsia="Times New Roman" w:hAnsi="Arial" w:cs="Arial"/>
          <w:color w:val="000007"/>
          <w:lang w:eastAsia="es-ES_tradnl"/>
        </w:rPr>
        <w:t>comprensión</w:t>
      </w:r>
      <w:r w:rsidRPr="00701769">
        <w:rPr>
          <w:rFonts w:ascii="Arial" w:eastAsia="Times New Roman" w:hAnsi="Arial" w:cs="Arial"/>
          <w:color w:val="000007"/>
          <w:lang w:eastAsia="es-ES_tradnl"/>
        </w:rPr>
        <w:t xml:space="preserve"> del sentido y alcance de estas reglas de liquidación se ha de tener en cuenta que los principios que las inspiran son los siguientes: </w:t>
      </w:r>
    </w:p>
    <w:p w:rsidR="00701769" w:rsidRDefault="00701769" w:rsidP="00701769">
      <w:pPr>
        <w:spacing w:before="100" w:beforeAutospacing="1" w:after="100" w:afterAutospacing="1" w:line="360" w:lineRule="auto"/>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lastRenderedPageBreak/>
        <w:t xml:space="preserve">1.- La realización de los bienes y derechos del concurso mediante distintas fases de </w:t>
      </w:r>
      <w:r w:rsidRPr="00701769">
        <w:rPr>
          <w:rFonts w:ascii="Arial" w:eastAsia="Times New Roman" w:hAnsi="Arial" w:cs="Arial"/>
          <w:b/>
          <w:bCs/>
          <w:color w:val="000007"/>
          <w:sz w:val="22"/>
          <w:szCs w:val="22"/>
          <w:lang w:eastAsia="es-ES_tradnl"/>
        </w:rPr>
        <w:t>venta concurrencial extrajudicial</w:t>
      </w:r>
      <w:r w:rsidRPr="00701769">
        <w:rPr>
          <w:rFonts w:ascii="Arial" w:eastAsia="Times New Roman" w:hAnsi="Arial" w:cs="Arial"/>
          <w:color w:val="000007"/>
          <w:sz w:val="22"/>
          <w:szCs w:val="22"/>
          <w:lang w:eastAsia="es-ES_tradnl"/>
        </w:rPr>
        <w:t xml:space="preserve"> en la misma línea que marca el art. 15 del Real Decreto Ley 16/2020 de 28 de abril.</w:t>
      </w:r>
      <w:r w:rsidRPr="00701769">
        <w:rPr>
          <w:rFonts w:ascii="Arial" w:eastAsia="Times New Roman" w:hAnsi="Arial" w:cs="Arial"/>
          <w:color w:val="000007"/>
          <w:sz w:val="22"/>
          <w:szCs w:val="22"/>
          <w:lang w:eastAsia="es-ES_tradnl"/>
        </w:rPr>
        <w:br/>
        <w:t xml:space="preserve">2.- Salvo en los supuestos de ventas de unidad productiva </w:t>
      </w:r>
      <w:r w:rsidRPr="00701769">
        <w:rPr>
          <w:rFonts w:ascii="Arial" w:eastAsia="Times New Roman" w:hAnsi="Arial" w:cs="Arial"/>
          <w:color w:val="000007"/>
          <w:sz w:val="22"/>
          <w:szCs w:val="22"/>
          <w:u w:val="single"/>
          <w:lang w:eastAsia="es-ES_tradnl"/>
        </w:rPr>
        <w:t xml:space="preserve">no será necesaria la solicitud de autorización judicial </w:t>
      </w:r>
      <w:r w:rsidRPr="00701769">
        <w:rPr>
          <w:rFonts w:ascii="Arial" w:eastAsia="Times New Roman" w:hAnsi="Arial" w:cs="Arial"/>
          <w:color w:val="000007"/>
          <w:sz w:val="22"/>
          <w:szCs w:val="22"/>
          <w:lang w:eastAsia="es-ES_tradnl"/>
        </w:rPr>
        <w:t xml:space="preserve">para la realización de los bienes y derechos.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3.- </w:t>
      </w:r>
      <w:r w:rsidRPr="00701769">
        <w:rPr>
          <w:rFonts w:ascii="Arial" w:eastAsia="Times New Roman" w:hAnsi="Arial" w:cs="Arial"/>
          <w:color w:val="000007"/>
          <w:sz w:val="22"/>
          <w:szCs w:val="22"/>
          <w:u w:val="single"/>
          <w:lang w:eastAsia="es-ES_tradnl"/>
        </w:rPr>
        <w:t>En el Auto aprobando</w:t>
      </w:r>
      <w:r w:rsidRPr="00701769">
        <w:rPr>
          <w:rFonts w:ascii="Arial" w:eastAsia="Times New Roman" w:hAnsi="Arial" w:cs="Arial"/>
          <w:color w:val="000007"/>
          <w:sz w:val="22"/>
          <w:szCs w:val="22"/>
          <w:lang w:eastAsia="es-ES_tradnl"/>
        </w:rPr>
        <w:t xml:space="preserve"> las normas de liquidación </w:t>
      </w:r>
      <w:r w:rsidRPr="00701769">
        <w:rPr>
          <w:rFonts w:ascii="Arial" w:eastAsia="Times New Roman" w:hAnsi="Arial" w:cs="Arial"/>
          <w:color w:val="000007"/>
          <w:sz w:val="22"/>
          <w:szCs w:val="22"/>
          <w:u w:val="single"/>
          <w:lang w:eastAsia="es-ES_tradnl"/>
        </w:rPr>
        <w:t>se acordará la cancelación</w:t>
      </w:r>
      <w:r w:rsidRPr="00701769">
        <w:rPr>
          <w:rFonts w:ascii="Arial" w:eastAsia="Times New Roman" w:hAnsi="Arial" w:cs="Arial"/>
          <w:color w:val="000007"/>
          <w:sz w:val="22"/>
          <w:szCs w:val="22"/>
          <w:lang w:eastAsia="es-ES_tradnl"/>
        </w:rPr>
        <w:t xml:space="preserve"> de las cargas y gravámenes que se hará efectiva siempre que concurran los  presupuestos indicados.</w:t>
      </w:r>
      <w:r w:rsidRPr="00701769">
        <w:rPr>
          <w:rFonts w:ascii="Arial" w:eastAsia="Times New Roman" w:hAnsi="Arial" w:cs="Arial"/>
          <w:color w:val="000007"/>
          <w:sz w:val="22"/>
          <w:szCs w:val="22"/>
          <w:lang w:eastAsia="es-ES_tradnl"/>
        </w:rPr>
        <w:br/>
        <w:t xml:space="preserve">4.- La cumplimentación de los hitos que marcan las distintas fases del plan determinará que la duración del proceso de liquidación </w:t>
      </w:r>
      <w:r w:rsidRPr="00701769">
        <w:rPr>
          <w:rFonts w:ascii="Arial" w:eastAsia="Times New Roman" w:hAnsi="Arial" w:cs="Arial"/>
          <w:color w:val="000007"/>
          <w:sz w:val="22"/>
          <w:szCs w:val="22"/>
          <w:u w:val="single"/>
          <w:lang w:eastAsia="es-ES_tradnl"/>
        </w:rPr>
        <w:t>no exceda en ningún caso del plazo de un año</w:t>
      </w:r>
      <w:r w:rsidRPr="00701769">
        <w:rPr>
          <w:rFonts w:ascii="Arial" w:eastAsia="Times New Roman" w:hAnsi="Arial" w:cs="Arial"/>
          <w:color w:val="000007"/>
          <w:sz w:val="22"/>
          <w:szCs w:val="22"/>
          <w:lang w:eastAsia="es-ES_tradnl"/>
        </w:rPr>
        <w:t xml:space="preserve"> indicado en el art. 153 LC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5.- Se establece un </w:t>
      </w:r>
      <w:r w:rsidRPr="00701769">
        <w:rPr>
          <w:rFonts w:ascii="Arial" w:eastAsia="Times New Roman" w:hAnsi="Arial" w:cs="Arial"/>
          <w:color w:val="000007"/>
          <w:sz w:val="22"/>
          <w:szCs w:val="22"/>
          <w:u w:val="single"/>
          <w:lang w:eastAsia="es-ES_tradnl"/>
        </w:rPr>
        <w:t>régimen especial para las ventas de unidad productiva</w:t>
      </w:r>
      <w:r w:rsidRPr="00701769">
        <w:rPr>
          <w:rFonts w:ascii="Arial" w:eastAsia="Times New Roman" w:hAnsi="Arial" w:cs="Arial"/>
          <w:color w:val="000007"/>
          <w:sz w:val="22"/>
          <w:szCs w:val="22"/>
          <w:lang w:eastAsia="es-ES_tradnl"/>
        </w:rPr>
        <w:br/>
        <w:t xml:space="preserve">6.- Las pautas aprobadas son </w:t>
      </w:r>
      <w:r w:rsidRPr="00701769">
        <w:rPr>
          <w:rFonts w:ascii="Arial" w:eastAsia="Times New Roman" w:hAnsi="Arial" w:cs="Arial"/>
          <w:color w:val="000007"/>
          <w:sz w:val="22"/>
          <w:szCs w:val="22"/>
          <w:u w:val="single"/>
          <w:lang w:eastAsia="es-ES_tradnl"/>
        </w:rPr>
        <w:t xml:space="preserve">acordes </w:t>
      </w:r>
      <w:r w:rsidRPr="00701769">
        <w:rPr>
          <w:rFonts w:ascii="Arial" w:eastAsia="Times New Roman" w:hAnsi="Arial" w:cs="Arial"/>
          <w:color w:val="000007"/>
          <w:sz w:val="22"/>
          <w:szCs w:val="22"/>
          <w:lang w:eastAsia="es-ES_tradnl"/>
        </w:rPr>
        <w:t xml:space="preserve">a los privilegios reconocidos legalmente a los acreedores con </w:t>
      </w:r>
      <w:r w:rsidRPr="00701769">
        <w:rPr>
          <w:rFonts w:ascii="Arial" w:eastAsia="Times New Roman" w:hAnsi="Arial" w:cs="Arial"/>
          <w:color w:val="000007"/>
          <w:sz w:val="22"/>
          <w:szCs w:val="22"/>
          <w:u w:val="single"/>
          <w:lang w:eastAsia="es-ES_tradnl"/>
        </w:rPr>
        <w:t xml:space="preserve">privilegio especial. </w:t>
      </w:r>
    </w:p>
    <w:p w:rsidR="00DA109E"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color w:val="000007"/>
          <w:lang w:eastAsia="es-ES_tradnl"/>
        </w:rPr>
        <w:t xml:space="preserve">PLAN DE LIQUIDACIÓN </w:t>
      </w:r>
      <w:r>
        <w:rPr>
          <w:rFonts w:ascii="Times New Roman" w:eastAsia="Times New Roman" w:hAnsi="Times New Roman" w:cs="Times New Roman"/>
          <w:b/>
          <w:bCs/>
          <w:lang w:eastAsia="es-ES_tradnl"/>
        </w:rPr>
        <w:t xml:space="preserve"> </w:t>
      </w:r>
    </w:p>
    <w:p w:rsid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color w:val="000007"/>
          <w:lang w:eastAsia="es-ES_tradnl"/>
        </w:rPr>
        <w:t xml:space="preserve">1.- ACTIVO OBJETO DE LAS OPERACIONES DE LIQUIDACIÓN. </w:t>
      </w:r>
    </w:p>
    <w:p w:rsidR="00DA109E" w:rsidRDefault="00701769" w:rsidP="00701769">
      <w:pPr>
        <w:spacing w:before="100" w:beforeAutospacing="1" w:after="100" w:afterAutospacing="1" w:line="360" w:lineRule="auto"/>
        <w:rPr>
          <w:rFonts w:ascii="Arial" w:eastAsia="Times New Roman" w:hAnsi="Arial" w:cs="Arial"/>
          <w:color w:val="000007"/>
          <w:lang w:eastAsia="es-ES_tradnl"/>
        </w:rPr>
      </w:pPr>
      <w:r w:rsidRPr="00701769">
        <w:rPr>
          <w:rFonts w:ascii="Arial" w:eastAsia="Times New Roman" w:hAnsi="Arial" w:cs="Arial"/>
          <w:color w:val="000007"/>
          <w:lang w:eastAsia="es-ES_tradnl"/>
        </w:rPr>
        <w:t>1.1</w:t>
      </w:r>
      <w:r w:rsidRPr="00701769">
        <w:rPr>
          <w:rFonts w:ascii="Arial" w:eastAsia="Times New Roman" w:hAnsi="Arial" w:cs="Arial"/>
          <w:b/>
          <w:bCs/>
          <w:color w:val="000007"/>
          <w:lang w:eastAsia="es-ES_tradnl"/>
        </w:rPr>
        <w:t xml:space="preserve">.- El activo </w:t>
      </w:r>
      <w:r w:rsidRPr="00701769">
        <w:rPr>
          <w:rFonts w:ascii="Arial" w:eastAsia="Times New Roman" w:hAnsi="Arial" w:cs="Arial"/>
          <w:color w:val="000007"/>
          <w:lang w:eastAsia="es-ES_tradnl"/>
        </w:rPr>
        <w:t>que será objeto de liquidación es el que se encuentre recogido en el texto definitivo de la AC o en caso de inexistencia del mismo el que se haya fijado en los textos provisionales o en su defecto el que se recoja en la documentación del concursado, no siendo el trámite de alegaciones y aprobación del Plan de Liquidación el lugar para discutir sobre la inclusión o exclusión de bienes. Lo expuesto sin perjuicio de la obligación de la AC de proceder a la liquidación de los bienes que puedan sobrevenir al activo del concurso y que no se encuentren recogidos en el inventario de los textos definitivos, provisionales o documentación del deudor</w:t>
      </w:r>
      <w:r w:rsidR="00DA109E">
        <w:rPr>
          <w:rFonts w:ascii="Arial" w:eastAsia="Times New Roman" w:hAnsi="Arial" w:cs="Arial"/>
          <w:color w:val="000007"/>
          <w:lang w:eastAsia="es-ES_tradnl"/>
        </w:rPr>
        <w:t>.</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PAUTAS SOBRE EL PLAN DE LIQUIDACIÓN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Debe precisarse que el TS entre otras, en su </w:t>
      </w:r>
      <w:r w:rsidRPr="00701769">
        <w:rPr>
          <w:rFonts w:ascii="Arial" w:eastAsia="Times New Roman" w:hAnsi="Arial" w:cs="Arial"/>
          <w:b/>
          <w:bCs/>
          <w:color w:val="000007"/>
          <w:lang w:eastAsia="es-ES_tradnl"/>
        </w:rPr>
        <w:t>STS 558/2018</w:t>
      </w:r>
      <w:r w:rsidRPr="00701769">
        <w:rPr>
          <w:rFonts w:ascii="Arial" w:eastAsia="Times New Roman" w:hAnsi="Arial" w:cs="Arial"/>
          <w:color w:val="000007"/>
          <w:lang w:eastAsia="es-ES_tradnl"/>
        </w:rPr>
        <w:t xml:space="preserve"> de 9 de Octubre, tiene declarado “ Decisión de la Sala: </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lastRenderedPageBreak/>
        <w:t xml:space="preserve">1.- La función del </w:t>
      </w:r>
      <w:r w:rsidRPr="00701769">
        <w:rPr>
          <w:rFonts w:ascii="Arial" w:eastAsia="Times New Roman" w:hAnsi="Arial" w:cs="Arial"/>
          <w:color w:val="000007"/>
          <w:sz w:val="22"/>
          <w:szCs w:val="22"/>
          <w:u w:val="single"/>
          <w:lang w:eastAsia="es-ES_tradnl"/>
        </w:rPr>
        <w:t>inventario es predominantemente informativa</w:t>
      </w:r>
      <w:r w:rsidRPr="00701769">
        <w:rPr>
          <w:rFonts w:ascii="Arial" w:eastAsia="Times New Roman" w:hAnsi="Arial" w:cs="Arial"/>
          <w:color w:val="000007"/>
          <w:sz w:val="22"/>
          <w:szCs w:val="22"/>
          <w:lang w:eastAsia="es-ES_tradnl"/>
        </w:rPr>
        <w:t xml:space="preserve">, a fin de que los acreedores puedan conocer con qué bienes y derechos cuenta el concursado para cumplir una posible propuesta de convenio, o cuál sería el resultado económico previsible que traería, en la práctica, la liquidación de su patrimonio. </w:t>
      </w:r>
    </w:p>
    <w:p w:rsidR="00701769" w:rsidRDefault="00701769" w:rsidP="00701769">
      <w:pPr>
        <w:spacing w:before="100" w:beforeAutospacing="1" w:after="100" w:afterAutospacing="1" w:line="360" w:lineRule="auto"/>
        <w:rPr>
          <w:rFonts w:ascii="Arial" w:eastAsia="Times New Roman" w:hAnsi="Arial" w:cs="Arial"/>
          <w:color w:val="000007"/>
          <w:sz w:val="22"/>
          <w:szCs w:val="22"/>
          <w:lang w:eastAsia="es-ES_tradnl"/>
        </w:rPr>
      </w:pPr>
      <w:r w:rsidRPr="00701769">
        <w:rPr>
          <w:rFonts w:ascii="Arial" w:eastAsia="Times New Roman" w:hAnsi="Arial" w:cs="Arial"/>
          <w:color w:val="000007"/>
          <w:sz w:val="22"/>
          <w:szCs w:val="22"/>
          <w:lang w:eastAsia="es-ES_tradnl"/>
        </w:rPr>
        <w:t xml:space="preserve">Razón por la cual el </w:t>
      </w:r>
      <w:r w:rsidRPr="00701769">
        <w:rPr>
          <w:rFonts w:ascii="Arial" w:eastAsia="Times New Roman" w:hAnsi="Arial" w:cs="Arial"/>
          <w:i/>
          <w:iCs/>
          <w:color w:val="000007"/>
          <w:sz w:val="22"/>
          <w:szCs w:val="22"/>
          <w:lang w:eastAsia="es-ES_tradnl"/>
        </w:rPr>
        <w:t>art. 148.1 LC,</w:t>
      </w:r>
      <w:r w:rsidRPr="00701769">
        <w:rPr>
          <w:rFonts w:ascii="Arial" w:eastAsia="Times New Roman" w:hAnsi="Arial" w:cs="Arial"/>
          <w:color w:val="000007"/>
          <w:sz w:val="22"/>
          <w:szCs w:val="22"/>
          <w:lang w:eastAsia="es-ES_tradnl"/>
        </w:rPr>
        <w:t xml:space="preserve"> al referirse a los bienes y derechos realizables en la fase de liquidación, no alude a los recogidos en los textos definitivos, sino, con mayor amplitud, a los «bienes y derechos integrados en la masa activa».</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El </w:t>
      </w:r>
      <w:r w:rsidRPr="00701769">
        <w:rPr>
          <w:rFonts w:ascii="Arial" w:eastAsia="Times New Roman" w:hAnsi="Arial" w:cs="Arial"/>
          <w:color w:val="000007"/>
          <w:sz w:val="22"/>
          <w:szCs w:val="22"/>
          <w:u w:val="single"/>
          <w:lang w:eastAsia="es-ES_tradnl"/>
        </w:rPr>
        <w:t>inventario no confiere un título traslativo del dominio</w:t>
      </w:r>
      <w:r w:rsidRPr="00701769">
        <w:rPr>
          <w:rFonts w:ascii="Arial" w:eastAsia="Times New Roman" w:hAnsi="Arial" w:cs="Arial"/>
          <w:color w:val="000007"/>
          <w:sz w:val="22"/>
          <w:szCs w:val="22"/>
          <w:lang w:eastAsia="es-ES_tradnl"/>
        </w:rPr>
        <w:t xml:space="preserve"> a quien no lo tiene, pues </w:t>
      </w:r>
      <w:r w:rsidRPr="00701769">
        <w:rPr>
          <w:rFonts w:ascii="Arial" w:eastAsia="Times New Roman" w:hAnsi="Arial" w:cs="Arial"/>
          <w:color w:val="000007"/>
          <w:sz w:val="22"/>
          <w:szCs w:val="22"/>
          <w:u w:val="single"/>
          <w:lang w:eastAsia="es-ES_tradnl"/>
        </w:rPr>
        <w:t>ni crea ni extingue derechos.</w:t>
      </w:r>
      <w:r w:rsidRPr="00701769">
        <w:rPr>
          <w:rFonts w:ascii="Arial" w:eastAsia="Times New Roman" w:hAnsi="Arial" w:cs="Arial"/>
          <w:color w:val="000007"/>
          <w:sz w:val="22"/>
          <w:szCs w:val="22"/>
          <w:lang w:eastAsia="es-ES_tradnl"/>
        </w:rPr>
        <w:t xml:space="preserve"> De modo que incluir un derecho de crédito o un bien en el inventario no constituye una declaración judicial acerca de la titularidad del bien o el derecho de que se trate. </w:t>
      </w:r>
      <w:r w:rsidRPr="00701769">
        <w:rPr>
          <w:rFonts w:ascii="Arial" w:eastAsia="Times New Roman" w:hAnsi="Arial" w:cs="Arial"/>
          <w:b/>
          <w:bCs/>
          <w:color w:val="000007"/>
          <w:sz w:val="22"/>
          <w:szCs w:val="22"/>
          <w:lang w:eastAsia="es-ES_tradnl"/>
        </w:rPr>
        <w:t>El inventario no es inamovible</w:t>
      </w:r>
      <w:r w:rsidRPr="00701769">
        <w:rPr>
          <w:rFonts w:ascii="Arial" w:eastAsia="Times New Roman" w:hAnsi="Arial" w:cs="Arial"/>
          <w:color w:val="000007"/>
          <w:sz w:val="22"/>
          <w:szCs w:val="22"/>
          <w:lang w:eastAsia="es-ES_tradnl"/>
        </w:rPr>
        <w:t xml:space="preserve">, sino que tiene un carácter dinámico, en la medida en que el concursado puede enajenar bienes y derechos y adquirir otros durante el concurso, además de los resultados que pueden arrojar las acciones de reintegración como cauce procesal para la recuperación de bienes que salieron indebidamente de la masa activa. </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2.- En cambio, la inclusión de un crédito en el </w:t>
      </w:r>
      <w:r w:rsidRPr="00701769">
        <w:rPr>
          <w:rFonts w:ascii="Arial" w:eastAsia="Times New Roman" w:hAnsi="Arial" w:cs="Arial"/>
          <w:b/>
          <w:bCs/>
          <w:color w:val="000007"/>
          <w:sz w:val="22"/>
          <w:szCs w:val="22"/>
          <w:lang w:eastAsia="es-ES_tradnl"/>
        </w:rPr>
        <w:t>listado de la masa pasiva sí tiene consecuencias jurídicas de fondo.</w:t>
      </w:r>
      <w:r w:rsidRPr="00701769">
        <w:rPr>
          <w:rFonts w:ascii="Arial" w:eastAsia="Times New Roman" w:hAnsi="Arial" w:cs="Arial"/>
          <w:color w:val="000007"/>
          <w:sz w:val="22"/>
          <w:szCs w:val="22"/>
          <w:lang w:eastAsia="es-ES_tradnl"/>
        </w:rPr>
        <w:t xml:space="preserve"> Por ejemplo, </w:t>
      </w:r>
      <w:r w:rsidRPr="00701769">
        <w:rPr>
          <w:rFonts w:ascii="Arial" w:eastAsia="Times New Roman" w:hAnsi="Arial" w:cs="Arial"/>
          <w:i/>
          <w:iCs/>
          <w:color w:val="000007"/>
          <w:sz w:val="22"/>
          <w:szCs w:val="22"/>
          <w:lang w:eastAsia="es-ES_tradnl"/>
        </w:rPr>
        <w:t>el art. 178 LC</w:t>
      </w:r>
      <w:r w:rsidRPr="00701769">
        <w:rPr>
          <w:rFonts w:ascii="Arial" w:eastAsia="Times New Roman" w:hAnsi="Arial" w:cs="Arial"/>
          <w:color w:val="000007"/>
          <w:sz w:val="22"/>
          <w:szCs w:val="22"/>
          <w:lang w:eastAsia="es-ES_tradnl"/>
        </w:rPr>
        <w:t xml:space="preserve"> considera título ejecutivo bastante para que un acreedor inicie una ejecución de título judicial el hecho de que su crédito haya sido incluido </w:t>
      </w:r>
      <w:r w:rsidRPr="00701769">
        <w:rPr>
          <w:rFonts w:ascii="Arial" w:eastAsia="Times New Roman" w:hAnsi="Arial" w:cs="Arial"/>
          <w:color w:val="000007"/>
          <w:sz w:val="22"/>
          <w:szCs w:val="22"/>
          <w:u w:val="single"/>
          <w:lang w:eastAsia="es-ES_tradnl"/>
        </w:rPr>
        <w:t>en la lista definitiva</w:t>
      </w:r>
      <w:r w:rsidRPr="00701769">
        <w:rPr>
          <w:rFonts w:ascii="Arial" w:eastAsia="Times New Roman" w:hAnsi="Arial" w:cs="Arial"/>
          <w:color w:val="000007"/>
          <w:sz w:val="22"/>
          <w:szCs w:val="22"/>
          <w:lang w:eastAsia="es-ES_tradnl"/>
        </w:rPr>
        <w:t xml:space="preserve"> de acreedores, y ese crédito incluido tiene el mismo valor jurídico y fuerza ejecutoria que una sentencia de condena firme, cosa que no sucede con la inclusión de un derecho de crédito a favor del concursado contra un deudor tercero en el inventario de la masa activa, que no constituye por sí un título judicial que legitime una reclamación ulterior. Y que, por ello, no impide una reclamación posterior sobre la existencia de un derecho de crédito no incluido en el inventario. </w:t>
      </w:r>
    </w:p>
    <w:p w:rsidR="00701769" w:rsidRPr="00701769" w:rsidRDefault="00701769" w:rsidP="00701769">
      <w:pPr>
        <w:spacing w:before="100" w:beforeAutospacing="1" w:after="100" w:afterAutospacing="1" w:line="360" w:lineRule="auto"/>
        <w:jc w:val="both"/>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Este es el sentido de la </w:t>
      </w:r>
      <w:r w:rsidRPr="00701769">
        <w:rPr>
          <w:rFonts w:ascii="Arial" w:eastAsia="Times New Roman" w:hAnsi="Arial" w:cs="Arial"/>
          <w:b/>
          <w:bCs/>
          <w:color w:val="000007"/>
          <w:sz w:val="22"/>
          <w:szCs w:val="22"/>
          <w:lang w:eastAsia="es-ES_tradnl"/>
        </w:rPr>
        <w:t>sentencia de esta sala 563/2010</w:t>
      </w:r>
      <w:r w:rsidRPr="00701769">
        <w:rPr>
          <w:rFonts w:ascii="Arial" w:eastAsia="Times New Roman" w:hAnsi="Arial" w:cs="Arial"/>
          <w:color w:val="000007"/>
          <w:sz w:val="22"/>
          <w:szCs w:val="22"/>
          <w:lang w:eastAsia="es-ES_tradnl"/>
        </w:rPr>
        <w:t xml:space="preserve">, de 28 de septiembre, que se cita en la sentencia recurrida y se invoca en el recurso. De la que se colige que el inventario y la lista de acreedores tienen una naturaleza diferente: mientras que la lista de acreedores, con la excepción de las modificaciones derivadas de las previsiones de los arts. 97, 97 bis y 97 ter LC (y demás supuestos previstos legalmente, a los que se remite el art. 97.3 LC), determina de manera definitiva la composición de la masa pasiva, que ya no podrá ser combatida, el inventario tiene naturaleza informativa, por lo que la inclusión en dicho </w:t>
      </w:r>
      <w:r w:rsidRPr="00701769">
        <w:rPr>
          <w:rFonts w:ascii="Arial" w:eastAsia="Times New Roman" w:hAnsi="Arial" w:cs="Arial"/>
          <w:color w:val="000007"/>
          <w:sz w:val="22"/>
          <w:szCs w:val="22"/>
          <w:lang w:eastAsia="es-ES_tradnl"/>
        </w:rPr>
        <w:lastRenderedPageBreak/>
        <w:t xml:space="preserve">documento de un bien o derecho no constituye un título de dominio diferente a los previstos en el art. 609 CC. </w:t>
      </w:r>
    </w:p>
    <w:p w:rsidR="00701769" w:rsidRPr="00701769" w:rsidRDefault="00701769" w:rsidP="00DA109E">
      <w:pPr>
        <w:spacing w:before="100" w:beforeAutospacing="1" w:after="100" w:afterAutospacing="1" w:line="360" w:lineRule="auto"/>
        <w:jc w:val="both"/>
        <w:rPr>
          <w:rFonts w:ascii="Times New Roman" w:eastAsia="Times New Roman" w:hAnsi="Times New Roman" w:cs="Times New Roman"/>
          <w:sz w:val="22"/>
          <w:szCs w:val="22"/>
          <w:lang w:eastAsia="es-ES_tradnl"/>
        </w:rPr>
      </w:pPr>
      <w:r w:rsidRPr="00701769">
        <w:rPr>
          <w:rFonts w:ascii="Arial" w:eastAsia="Times New Roman" w:hAnsi="Arial" w:cs="Arial"/>
          <w:color w:val="000007"/>
          <w:sz w:val="22"/>
          <w:szCs w:val="22"/>
          <w:lang w:eastAsia="es-ES_tradnl"/>
        </w:rPr>
        <w:t xml:space="preserve">3.- De ahí que sea compatible la inclusión de estos bienes y derechos dentro del inventario con el posible litigio sobre tales derechos, en un juicio declarativo dentro del concurso o incluso fuera de él, de acuerdo con las reglas previstas en los artículos 50, 51 y 54 LC. </w:t>
      </w:r>
    </w:p>
    <w:p w:rsidR="00701769" w:rsidRPr="00701769" w:rsidRDefault="00701769" w:rsidP="00DA109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Por ello, únicamente podría hablarse de preclusión, e incluso, en puridad, de cosa juzgada, si la misma parte y por las mismas razones ahora esgrimidas hubiera impugnado en su día el inventario por el cauce del incidente concursal ( art. 196.4 LC). Pero al no haber sido así, no puede impedírsele que ejercite su acción.” </w:t>
      </w:r>
    </w:p>
    <w:p w:rsidR="00701769" w:rsidRPr="00701769" w:rsidRDefault="00701769" w:rsidP="00DA109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u w:val="single"/>
          <w:lang w:eastAsia="es-ES_tradnl"/>
        </w:rPr>
        <w:t>No serán objeto de liquidación aquellos bienes que se encuentren siendo ejecutados de manera separada por vía judicial o administrativa</w:t>
      </w:r>
      <w:r w:rsidRPr="00701769">
        <w:rPr>
          <w:rFonts w:ascii="Arial" w:eastAsia="Times New Roman" w:hAnsi="Arial" w:cs="Arial"/>
          <w:lang w:eastAsia="es-ES_tradnl"/>
        </w:rPr>
        <w:t xml:space="preserve">, salvo que el acreedor desista de su derecho de ejecución separada.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2.- SISTEMA DE LIQUIDACIÓN. </w:t>
      </w:r>
    </w:p>
    <w:p w:rsidR="00701769" w:rsidRPr="00701769" w:rsidRDefault="00701769" w:rsidP="00DA109E">
      <w:pPr>
        <w:spacing w:before="100" w:beforeAutospacing="1" w:after="100" w:afterAutospacing="1" w:line="360" w:lineRule="auto"/>
        <w:jc w:val="both"/>
        <w:rPr>
          <w:rFonts w:ascii="Times New Roman" w:eastAsia="Times New Roman" w:hAnsi="Times New Roman" w:cs="Times New Roman"/>
          <w:b/>
          <w:bCs/>
          <w:lang w:eastAsia="es-ES_tradnl"/>
        </w:rPr>
      </w:pPr>
      <w:r w:rsidRPr="00701769">
        <w:rPr>
          <w:rFonts w:ascii="Arial" w:eastAsia="Times New Roman" w:hAnsi="Arial" w:cs="Arial"/>
          <w:lang w:eastAsia="es-ES_tradnl"/>
        </w:rPr>
        <w:t xml:space="preserve">A continuación </w:t>
      </w:r>
      <w:r w:rsidR="006B5763">
        <w:rPr>
          <w:rFonts w:ascii="Arial" w:eastAsia="Times New Roman" w:hAnsi="Arial" w:cs="Arial"/>
          <w:lang w:eastAsia="es-ES_tradnl"/>
        </w:rPr>
        <w:t xml:space="preserve">, </w:t>
      </w:r>
      <w:r w:rsidRPr="00701769">
        <w:rPr>
          <w:rFonts w:ascii="Arial" w:eastAsia="Times New Roman" w:hAnsi="Arial" w:cs="Arial"/>
          <w:lang w:eastAsia="es-ES_tradnl"/>
        </w:rPr>
        <w:t>se expone la forma en la que van a ser objeto de liquidación los bienes a liquidar, sin perjuicio de lo que se expondrá para las ventas de Unidades Productivas y tratamiento de bienes sujetos a garantizar créditos con privilegio especial.</w:t>
      </w:r>
      <w:r w:rsidRPr="00701769">
        <w:rPr>
          <w:rFonts w:ascii="Arial" w:eastAsia="Times New Roman" w:hAnsi="Arial" w:cs="Arial"/>
          <w:lang w:eastAsia="es-ES_tradnl"/>
        </w:rPr>
        <w:br/>
        <w:t xml:space="preserve">Precisar que todas las fases de venta se basan en sistemas tipo </w:t>
      </w:r>
      <w:r w:rsidRPr="00701769">
        <w:rPr>
          <w:rFonts w:ascii="Arial" w:eastAsia="Times New Roman" w:hAnsi="Arial" w:cs="Arial"/>
          <w:b/>
          <w:bCs/>
          <w:lang w:eastAsia="es-ES_tradnl"/>
        </w:rPr>
        <w:t>subasta,</w:t>
      </w:r>
      <w:r w:rsidRPr="00701769">
        <w:rPr>
          <w:rFonts w:ascii="Arial" w:eastAsia="Times New Roman" w:hAnsi="Arial" w:cs="Arial"/>
          <w:lang w:eastAsia="es-ES_tradnl"/>
        </w:rPr>
        <w:t xml:space="preserve"> para la cual la Ley Concursal </w:t>
      </w:r>
      <w:r w:rsidRPr="00701769">
        <w:rPr>
          <w:rFonts w:ascii="Arial" w:eastAsia="Times New Roman" w:hAnsi="Arial" w:cs="Arial"/>
          <w:u w:val="single"/>
          <w:lang w:eastAsia="es-ES_tradnl"/>
        </w:rPr>
        <w:t>no exige que sea judicial</w:t>
      </w:r>
      <w:r w:rsidRPr="00701769">
        <w:rPr>
          <w:rFonts w:ascii="Arial" w:eastAsia="Times New Roman" w:hAnsi="Arial" w:cs="Arial"/>
          <w:lang w:eastAsia="es-ES_tradnl"/>
        </w:rPr>
        <w:t xml:space="preserve">, </w:t>
      </w:r>
      <w:r w:rsidRPr="00701769">
        <w:rPr>
          <w:rFonts w:ascii="Arial" w:eastAsia="Times New Roman" w:hAnsi="Arial" w:cs="Arial"/>
          <w:color w:val="000007"/>
          <w:lang w:eastAsia="es-ES_tradnl"/>
        </w:rPr>
        <w:t xml:space="preserve">es más el propio </w:t>
      </w:r>
      <w:r w:rsidRPr="00701769">
        <w:rPr>
          <w:rFonts w:ascii="Arial" w:eastAsia="Times New Roman" w:hAnsi="Arial" w:cs="Arial"/>
          <w:i/>
          <w:iCs/>
          <w:color w:val="000007"/>
          <w:lang w:eastAsia="es-ES_tradnl"/>
        </w:rPr>
        <w:t>art. 15.1</w:t>
      </w:r>
      <w:r w:rsidRPr="00701769">
        <w:rPr>
          <w:rFonts w:ascii="Arial" w:eastAsia="Times New Roman" w:hAnsi="Arial" w:cs="Arial"/>
          <w:color w:val="000007"/>
          <w:lang w:eastAsia="es-ES_tradnl"/>
        </w:rPr>
        <w:t xml:space="preserve"> del RD-</w:t>
      </w:r>
      <w:r w:rsidRPr="00701769">
        <w:rPr>
          <w:rFonts w:ascii="Arial" w:eastAsia="Times New Roman" w:hAnsi="Arial" w:cs="Arial"/>
          <w:b/>
          <w:bCs/>
          <w:color w:val="000007"/>
          <w:lang w:eastAsia="es-ES_tradnl"/>
        </w:rPr>
        <w:t>Ley 16/2020</w:t>
      </w:r>
      <w:r w:rsidRPr="00701769">
        <w:rPr>
          <w:rFonts w:ascii="Arial" w:eastAsia="Times New Roman" w:hAnsi="Arial" w:cs="Arial"/>
          <w:color w:val="000007"/>
          <w:lang w:eastAsia="es-ES_tradnl"/>
        </w:rPr>
        <w:t xml:space="preserve"> de 28 de Abril dispone “1. En los concursos de acreedores que se declaren </w:t>
      </w:r>
      <w:r w:rsidRPr="00701769">
        <w:rPr>
          <w:rFonts w:ascii="Arial" w:eastAsia="Times New Roman" w:hAnsi="Arial" w:cs="Arial"/>
          <w:color w:val="000007"/>
          <w:u w:val="single"/>
          <w:lang w:eastAsia="es-ES_tradnl"/>
        </w:rPr>
        <w:t>dentro del año siguiente a la declaración del estado de alarma</w:t>
      </w:r>
      <w:r w:rsidRPr="00701769">
        <w:rPr>
          <w:rFonts w:ascii="Arial" w:eastAsia="Times New Roman" w:hAnsi="Arial" w:cs="Arial"/>
          <w:color w:val="000007"/>
          <w:lang w:eastAsia="es-ES_tradnl"/>
        </w:rPr>
        <w:t xml:space="preserve"> y en los que </w:t>
      </w:r>
      <w:r w:rsidRPr="00701769">
        <w:rPr>
          <w:rFonts w:ascii="Arial" w:eastAsia="Times New Roman" w:hAnsi="Arial" w:cs="Arial"/>
          <w:color w:val="000007"/>
          <w:u w:val="single"/>
          <w:lang w:eastAsia="es-ES_tradnl"/>
        </w:rPr>
        <w:t>se encuentren en tramitación</w:t>
      </w:r>
      <w:r w:rsidRPr="00701769">
        <w:rPr>
          <w:rFonts w:ascii="Arial" w:eastAsia="Times New Roman" w:hAnsi="Arial" w:cs="Arial"/>
          <w:color w:val="000007"/>
          <w:lang w:eastAsia="es-ES_tradnl"/>
        </w:rPr>
        <w:t xml:space="preserve"> a dicha fecha, la subasta de bienes y derechos de la masa activa </w:t>
      </w:r>
      <w:r w:rsidRPr="00701769">
        <w:rPr>
          <w:rFonts w:ascii="Arial" w:eastAsia="Times New Roman" w:hAnsi="Arial" w:cs="Arial"/>
          <w:b/>
          <w:bCs/>
          <w:color w:val="000007"/>
          <w:lang w:eastAsia="es-ES_tradnl"/>
        </w:rPr>
        <w:t>deberá ser extrajudicial</w:t>
      </w:r>
      <w:r w:rsidRPr="00701769">
        <w:rPr>
          <w:rFonts w:ascii="Arial" w:eastAsia="Times New Roman" w:hAnsi="Arial" w:cs="Arial"/>
          <w:color w:val="000007"/>
          <w:lang w:eastAsia="es-ES_tradnl"/>
        </w:rPr>
        <w:t xml:space="preserve">, incluso aunque el plan de liquidación estableciera otra cosa.”. Si bien esta previsión normativa en principio está acotada a la situación generada por la pandemia del COVID- 19, lo cierto es que el legislador por un lado ya evidencia que existen métodos de subastas que no son judiciales, y </w:t>
      </w:r>
      <w:r w:rsidRPr="00701769">
        <w:rPr>
          <w:rFonts w:ascii="Arial" w:eastAsia="Times New Roman" w:hAnsi="Arial" w:cs="Arial"/>
          <w:color w:val="000007"/>
          <w:u w:val="single"/>
          <w:lang w:eastAsia="es-ES_tradnl"/>
        </w:rPr>
        <w:t>este reconocimiento no está vinculado a la coyuntura de la situación</w:t>
      </w:r>
      <w:r w:rsidRPr="00701769">
        <w:rPr>
          <w:rFonts w:ascii="Arial" w:eastAsia="Times New Roman" w:hAnsi="Arial" w:cs="Arial"/>
          <w:color w:val="000007"/>
          <w:lang w:eastAsia="es-ES_tradnl"/>
        </w:rPr>
        <w:t xml:space="preserve">, y que por otro lado ni la subasta judicial debe ser el método prioritario, antes al contrario debe </w:t>
      </w:r>
      <w:r w:rsidRPr="00701769">
        <w:rPr>
          <w:rFonts w:ascii="Arial" w:eastAsia="Times New Roman" w:hAnsi="Arial" w:cs="Arial"/>
          <w:color w:val="000007"/>
          <w:lang w:eastAsia="es-ES_tradnl"/>
        </w:rPr>
        <w:lastRenderedPageBreak/>
        <w:t xml:space="preserve">evitarse, ni el hecho de hacer uso de otros mecanismos de subasta en la liquidación inciden en los derechos de las partes ni en la eficacia del proceso. Así </w:t>
      </w:r>
      <w:r w:rsidRPr="00701769">
        <w:rPr>
          <w:rFonts w:ascii="Arial" w:eastAsia="Times New Roman" w:hAnsi="Arial" w:cs="Arial"/>
          <w:color w:val="000007"/>
          <w:u w:val="single"/>
          <w:lang w:eastAsia="es-ES_tradnl"/>
        </w:rPr>
        <w:t xml:space="preserve">en todos los sistemas de liquidación que se emplean en el presente plan </w:t>
      </w:r>
      <w:r w:rsidRPr="00701769">
        <w:rPr>
          <w:rFonts w:ascii="Arial" w:eastAsia="Times New Roman" w:hAnsi="Arial" w:cs="Arial"/>
          <w:u w:val="single"/>
          <w:lang w:eastAsia="es-ES_tradnl"/>
        </w:rPr>
        <w:t>existe la posibilidad de una libre concurrencia</w:t>
      </w:r>
      <w:r w:rsidRPr="00701769">
        <w:rPr>
          <w:rFonts w:ascii="Arial" w:eastAsia="Times New Roman" w:hAnsi="Arial" w:cs="Arial"/>
          <w:lang w:eastAsia="es-ES_tradnl"/>
        </w:rPr>
        <w:t xml:space="preserve"> de postores que podrán hacer sus ofertas por los bienes y/o lotes de los mismos, debiendo la AC elegir la mejor oferta económica recibida, valorada de manera individual o en conjunto, sin que en ningún caso sea necesario una petición de autorización específica para la venta, ya que la presenta resolución (sin perjuicio de lo que se dirá para las ventas de Unidades Productivas) constituye una plena habilitación y autorización a la AC para proceder a la venta de los bienes objeto de liquidación, </w:t>
      </w:r>
      <w:r w:rsidRPr="00701769">
        <w:rPr>
          <w:rFonts w:ascii="Arial" w:eastAsia="Times New Roman" w:hAnsi="Arial" w:cs="Arial"/>
          <w:b/>
          <w:bCs/>
          <w:lang w:eastAsia="es-ES_tradnl"/>
        </w:rPr>
        <w:t xml:space="preserve">debiendo únicamente informar de las operaciones en los oportunos informes trimestrales. </w:t>
      </w:r>
    </w:p>
    <w:p w:rsidR="006B5763" w:rsidRDefault="00701769" w:rsidP="00701769">
      <w:pPr>
        <w:spacing w:before="100" w:beforeAutospacing="1" w:after="100" w:afterAutospacing="1" w:line="360" w:lineRule="auto"/>
        <w:rPr>
          <w:rFonts w:ascii="Arial" w:eastAsia="Times New Roman" w:hAnsi="Arial" w:cs="Arial"/>
          <w:lang w:eastAsia="es-ES_tradnl"/>
        </w:rPr>
      </w:pPr>
      <w:r w:rsidRPr="00701769">
        <w:rPr>
          <w:rFonts w:ascii="Arial" w:eastAsia="Times New Roman" w:hAnsi="Arial" w:cs="Arial"/>
          <w:b/>
          <w:bCs/>
          <w:lang w:eastAsia="es-ES_tradnl"/>
        </w:rPr>
        <w:t>PAUTAS SOBRE EL PLAN DE LIQUIDACIÓN</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 2.1. Fase Primera:</w:t>
      </w:r>
      <w:r w:rsidR="006B5763">
        <w:rPr>
          <w:rFonts w:ascii="Arial" w:eastAsia="Times New Roman" w:hAnsi="Arial" w:cs="Arial"/>
          <w:b/>
          <w:bCs/>
          <w:lang w:eastAsia="es-ES_tradnl"/>
        </w:rPr>
        <w:t xml:space="preserve"> </w:t>
      </w:r>
      <w:r w:rsidRPr="00701769">
        <w:rPr>
          <w:rFonts w:ascii="Arial" w:eastAsia="Times New Roman" w:hAnsi="Arial" w:cs="Arial"/>
          <w:b/>
          <w:bCs/>
          <w:lang w:eastAsia="es-ES_tradnl"/>
        </w:rPr>
        <w:t xml:space="preserve">Venta concurrencial ante la AC: </w:t>
      </w:r>
    </w:p>
    <w:p w:rsidR="006B5763" w:rsidRDefault="00701769" w:rsidP="006B5763">
      <w:pPr>
        <w:spacing w:before="100" w:beforeAutospacing="1" w:after="100" w:afterAutospacing="1" w:line="360" w:lineRule="auto"/>
        <w:jc w:val="both"/>
        <w:rPr>
          <w:rFonts w:ascii="Arial" w:eastAsia="Times New Roman" w:hAnsi="Arial" w:cs="Arial"/>
          <w:lang w:eastAsia="es-ES_tradnl"/>
        </w:rPr>
      </w:pPr>
      <w:r w:rsidRPr="00701769">
        <w:rPr>
          <w:rFonts w:ascii="Arial" w:eastAsia="Times New Roman" w:hAnsi="Arial" w:cs="Arial"/>
          <w:lang w:eastAsia="es-ES_tradnl"/>
        </w:rPr>
        <w:t xml:space="preserve">-Esta fase se inicia </w:t>
      </w:r>
      <w:r w:rsidRPr="00701769">
        <w:rPr>
          <w:rFonts w:ascii="Arial" w:eastAsia="Times New Roman" w:hAnsi="Arial" w:cs="Arial"/>
          <w:u w:val="single"/>
          <w:lang w:eastAsia="es-ES_tradnl"/>
        </w:rPr>
        <w:t>desde la fecha del auto de aprobación</w:t>
      </w:r>
      <w:r w:rsidRPr="00701769">
        <w:rPr>
          <w:rFonts w:ascii="Arial" w:eastAsia="Times New Roman" w:hAnsi="Arial" w:cs="Arial"/>
          <w:lang w:eastAsia="es-ES_tradnl"/>
        </w:rPr>
        <w:t xml:space="preserve"> del plan de liquidación. </w:t>
      </w:r>
    </w:p>
    <w:p w:rsidR="00701769" w:rsidRPr="00701769" w:rsidRDefault="00701769" w:rsidP="006B5763">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Podrán presentarse ofertas en la forma que se dirá, durante </w:t>
      </w:r>
      <w:r w:rsidRPr="00701769">
        <w:rPr>
          <w:rFonts w:ascii="Arial" w:eastAsia="Times New Roman" w:hAnsi="Arial" w:cs="Arial"/>
          <w:u w:val="single"/>
          <w:lang w:eastAsia="es-ES_tradnl"/>
        </w:rPr>
        <w:t>el plazo de dos meses</w:t>
      </w:r>
      <w:r w:rsidRPr="00701769">
        <w:rPr>
          <w:rFonts w:ascii="Arial" w:eastAsia="Times New Roman" w:hAnsi="Arial" w:cs="Arial"/>
          <w:lang w:eastAsia="es-ES_tradnl"/>
        </w:rPr>
        <w:t xml:space="preserve"> desde la citada fecha de aprobación del auto de aprobación del plan de liquidación, siendo el plazo máximo el de la celebración de las subastas presenciales que se citan en este punto siempre que sean necesarias celebrarlas en los casos previstos. </w:t>
      </w:r>
    </w:p>
    <w:p w:rsidR="00701769" w:rsidRPr="00701769" w:rsidRDefault="00701769" w:rsidP="006B5763">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-Durante esta fase, </w:t>
      </w:r>
      <w:r w:rsidRPr="00701769">
        <w:rPr>
          <w:rFonts w:ascii="Arial" w:eastAsia="Times New Roman" w:hAnsi="Arial" w:cs="Arial"/>
          <w:u w:val="single"/>
          <w:lang w:eastAsia="es-ES_tradnl"/>
        </w:rPr>
        <w:t>cualquier persona podrá dirigir a la AC oferta</w:t>
      </w:r>
      <w:r w:rsidRPr="00701769">
        <w:rPr>
          <w:rFonts w:ascii="Arial" w:eastAsia="Times New Roman" w:hAnsi="Arial" w:cs="Arial"/>
          <w:lang w:eastAsia="es-ES_tradnl"/>
        </w:rPr>
        <w:t xml:space="preserve"> por el bien o bienes que desee, ofertas que deberán dirigirse </w:t>
      </w:r>
      <w:r w:rsidRPr="00701769">
        <w:rPr>
          <w:rFonts w:ascii="Arial" w:eastAsia="Times New Roman" w:hAnsi="Arial" w:cs="Arial"/>
          <w:b/>
          <w:bCs/>
          <w:lang w:eastAsia="es-ES_tradnl"/>
        </w:rPr>
        <w:t>al correo electrónico</w:t>
      </w:r>
      <w:r w:rsidRPr="00701769">
        <w:rPr>
          <w:rFonts w:ascii="Arial" w:eastAsia="Times New Roman" w:hAnsi="Arial" w:cs="Arial"/>
          <w:lang w:eastAsia="es-ES_tradnl"/>
        </w:rPr>
        <w:t xml:space="preserve"> que la AC debe suministrar al tomar posesión de su nombramiento, identificado los bienes o lotes objeto de la oferta de manera precisa, e indicando la oferta concreta que se realiza, incluyendo en su caso la asunción en su caso de cargas, impuestos, forma de pago etc. </w:t>
      </w:r>
    </w:p>
    <w:p w:rsidR="00701769" w:rsidRPr="00701769" w:rsidRDefault="00701769" w:rsidP="006B5763">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-En </w:t>
      </w:r>
      <w:r w:rsidRPr="00701769">
        <w:rPr>
          <w:rFonts w:ascii="Arial" w:eastAsia="Times New Roman" w:hAnsi="Arial" w:cs="Arial"/>
          <w:b/>
          <w:bCs/>
          <w:lang w:eastAsia="es-ES_tradnl"/>
        </w:rPr>
        <w:t>el caso de concurrencia</w:t>
      </w:r>
      <w:r w:rsidRPr="00701769">
        <w:rPr>
          <w:rFonts w:ascii="Arial" w:eastAsia="Times New Roman" w:hAnsi="Arial" w:cs="Arial"/>
          <w:lang w:eastAsia="es-ES_tradnl"/>
        </w:rPr>
        <w:t xml:space="preserve"> de ofertas sobre bienes individuales con otras sobre un lote que incluya dichos bienes por los que también se han recibido ofertas individuales, la AC realizará la adjudicación en favor de la oferta </w:t>
      </w:r>
      <w:r w:rsidRPr="00701769">
        <w:rPr>
          <w:rFonts w:ascii="Arial" w:eastAsia="Times New Roman" w:hAnsi="Arial" w:cs="Arial"/>
          <w:u w:val="single"/>
          <w:lang w:eastAsia="es-ES_tradnl"/>
        </w:rPr>
        <w:t xml:space="preserve">sobre el lote si la </w:t>
      </w:r>
      <w:r w:rsidRPr="00701769">
        <w:rPr>
          <w:rFonts w:ascii="Arial" w:eastAsia="Times New Roman" w:hAnsi="Arial" w:cs="Arial"/>
          <w:u w:val="single"/>
          <w:lang w:eastAsia="es-ES_tradnl"/>
        </w:rPr>
        <w:lastRenderedPageBreak/>
        <w:t>suma de las ofertas de los bienes individuales no alcanzase la realizada por el lote</w:t>
      </w:r>
      <w:r w:rsidRPr="00701769">
        <w:rPr>
          <w:rFonts w:ascii="Arial" w:eastAsia="Times New Roman" w:hAnsi="Arial" w:cs="Arial"/>
          <w:lang w:eastAsia="es-ES_tradnl"/>
        </w:rPr>
        <w:t xml:space="preserve">. Sin embargo, si el lote incluye uno o más bienes sobre los que no se hayan recibido ofertas individuales, la adjudicación se producirá a favor de las ofertas individuales si </w:t>
      </w:r>
      <w:r w:rsidRPr="00701769">
        <w:rPr>
          <w:rFonts w:ascii="Arial" w:eastAsia="Times New Roman" w:hAnsi="Arial" w:cs="Arial"/>
          <w:b/>
          <w:bCs/>
          <w:lang w:eastAsia="es-ES_tradnl"/>
        </w:rPr>
        <w:t>la AC considera a su libre discreción</w:t>
      </w:r>
      <w:r w:rsidRPr="00701769">
        <w:rPr>
          <w:rFonts w:ascii="Arial" w:eastAsia="Times New Roman" w:hAnsi="Arial" w:cs="Arial"/>
          <w:lang w:eastAsia="es-ES_tradnl"/>
        </w:rPr>
        <w:t xml:space="preserve"> (sin perjuicio de justificar la decisión si se exigiese ello) que la realización en las siguientes fases de el plan de liquidación de los bienes incluidos en el lote y carentes de ofertas individuales en esta primera fase, </w:t>
      </w:r>
      <w:r w:rsidRPr="00701769">
        <w:rPr>
          <w:rFonts w:ascii="Arial" w:eastAsia="Times New Roman" w:hAnsi="Arial" w:cs="Arial"/>
          <w:u w:val="single"/>
          <w:lang w:eastAsia="es-ES_tradnl"/>
        </w:rPr>
        <w:t xml:space="preserve">pudiera </w:t>
      </w:r>
      <w:r w:rsidRPr="00701769">
        <w:rPr>
          <w:rFonts w:ascii="Arial" w:eastAsia="Times New Roman" w:hAnsi="Arial" w:cs="Arial"/>
          <w:lang w:eastAsia="es-ES_tradnl"/>
        </w:rPr>
        <w:t xml:space="preserve">realizarse por un importe superior a la diferencia entre la suma de las ofertas individuales y la oferta realizada por el lote. </w:t>
      </w:r>
    </w:p>
    <w:p w:rsidR="00701769" w:rsidRPr="00701769" w:rsidRDefault="00701769" w:rsidP="006B5763">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w:t>
      </w:r>
      <w:r w:rsidRPr="00701769">
        <w:rPr>
          <w:rFonts w:ascii="Arial" w:eastAsia="Times New Roman" w:hAnsi="Arial" w:cs="Arial"/>
          <w:b/>
          <w:bCs/>
          <w:lang w:eastAsia="es-ES_tradnl"/>
        </w:rPr>
        <w:t xml:space="preserve">Salvo </w:t>
      </w:r>
      <w:r w:rsidRPr="00701769">
        <w:rPr>
          <w:rFonts w:ascii="Arial" w:eastAsia="Times New Roman" w:hAnsi="Arial" w:cs="Arial"/>
          <w:lang w:eastAsia="es-ES_tradnl"/>
        </w:rPr>
        <w:t xml:space="preserve">que solo se haya presentado </w:t>
      </w:r>
      <w:r w:rsidRPr="00701769">
        <w:rPr>
          <w:rFonts w:ascii="Arial" w:eastAsia="Times New Roman" w:hAnsi="Arial" w:cs="Arial"/>
          <w:b/>
          <w:bCs/>
          <w:lang w:eastAsia="es-ES_tradnl"/>
        </w:rPr>
        <w:t>una única oferta y la misma supere el 75%</w:t>
      </w:r>
      <w:r w:rsidRPr="00701769">
        <w:rPr>
          <w:rFonts w:ascii="Arial" w:eastAsia="Times New Roman" w:hAnsi="Arial" w:cs="Arial"/>
          <w:lang w:eastAsia="es-ES_tradnl"/>
        </w:rPr>
        <w:t xml:space="preserve"> del valor que conste en inventario, o, a falta del mismo, en la documentación aportada por el deudor, caso este en el que se adjudicará el bien a dicho único oferente, </w:t>
      </w:r>
      <w:r w:rsidRPr="00701769">
        <w:rPr>
          <w:rFonts w:ascii="Arial" w:eastAsia="Times New Roman" w:hAnsi="Arial" w:cs="Arial"/>
          <w:u w:val="single"/>
          <w:lang w:eastAsia="es-ES_tradnl"/>
        </w:rPr>
        <w:t>la AC convocará una subasta presencial en el plazo de 10 días naturales</w:t>
      </w:r>
      <w:r w:rsidRPr="00701769">
        <w:rPr>
          <w:rFonts w:ascii="Arial" w:eastAsia="Times New Roman" w:hAnsi="Arial" w:cs="Arial"/>
          <w:lang w:eastAsia="es-ES_tradnl"/>
        </w:rPr>
        <w:t xml:space="preserve"> y en el lugar que considere oportuno </w:t>
      </w:r>
      <w:r w:rsidRPr="00701769">
        <w:rPr>
          <w:rFonts w:ascii="Arial" w:eastAsia="Times New Roman" w:hAnsi="Arial" w:cs="Arial"/>
          <w:u w:val="single"/>
          <w:lang w:eastAsia="es-ES_tradnl"/>
        </w:rPr>
        <w:t>si ha habido dos o más oferentes</w:t>
      </w:r>
      <w:r w:rsidRPr="00701769">
        <w:rPr>
          <w:rFonts w:ascii="Arial" w:eastAsia="Times New Roman" w:hAnsi="Arial" w:cs="Arial"/>
          <w:lang w:eastAsia="es-ES_tradnl"/>
        </w:rPr>
        <w:t xml:space="preserve">, convocatoria a la que se dará la misma publicidad que a la primera subasta, y en la que sólo podrán mejorarse o mantener las ofertas realizadas. Celebrada dicha subasta presencial, la AC adjudicará cada uno de los bienes </w:t>
      </w:r>
      <w:r w:rsidRPr="00701769">
        <w:rPr>
          <w:rFonts w:ascii="Arial" w:eastAsia="Times New Roman" w:hAnsi="Arial" w:cs="Arial"/>
          <w:u w:val="single"/>
          <w:lang w:eastAsia="es-ES_tradnl"/>
        </w:rPr>
        <w:t>al titular de la mejor oferta, siempre que sea igual o superior al 50% del valor</w:t>
      </w:r>
      <w:r w:rsidRPr="00701769">
        <w:rPr>
          <w:rFonts w:ascii="Arial" w:eastAsia="Times New Roman" w:hAnsi="Arial" w:cs="Arial"/>
          <w:lang w:eastAsia="es-ES_tradnl"/>
        </w:rPr>
        <w:t xml:space="preserve"> que conste en inventario o, a falta del mismo, en la documentación aportada por el deudor. </w:t>
      </w:r>
    </w:p>
    <w:p w:rsidR="00701769" w:rsidRPr="00701769" w:rsidRDefault="00701769" w:rsidP="00DA22DE">
      <w:pPr>
        <w:spacing w:before="100" w:beforeAutospacing="1" w:after="100" w:afterAutospacing="1" w:line="360" w:lineRule="auto"/>
        <w:jc w:val="both"/>
        <w:rPr>
          <w:rFonts w:ascii="Times New Roman" w:eastAsia="Times New Roman" w:hAnsi="Times New Roman" w:cs="Times New Roman"/>
          <w:u w:val="single"/>
          <w:lang w:eastAsia="es-ES_tradnl"/>
        </w:rPr>
      </w:pPr>
      <w:r w:rsidRPr="00701769">
        <w:rPr>
          <w:rFonts w:ascii="Arial" w:eastAsia="Times New Roman" w:hAnsi="Arial" w:cs="Arial"/>
          <w:lang w:eastAsia="es-ES_tradnl"/>
        </w:rPr>
        <w:t>-</w:t>
      </w:r>
      <w:r w:rsidRPr="00701769">
        <w:rPr>
          <w:rFonts w:ascii="Arial" w:eastAsia="Times New Roman" w:hAnsi="Arial" w:cs="Arial"/>
          <w:u w:val="single"/>
          <w:lang w:eastAsia="es-ES_tradnl"/>
        </w:rPr>
        <w:t xml:space="preserve">La AC tendrá la obligación durante esta fase de proceder a la difusión de los bienes objeto de liquidación por medios on line o escritos ya sean de pago o gratuitos. </w:t>
      </w:r>
    </w:p>
    <w:p w:rsidR="00701769" w:rsidRPr="00701769" w:rsidRDefault="00701769" w:rsidP="00DA22D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-Para proceder a la realización de ofertas se </w:t>
      </w:r>
      <w:r w:rsidRPr="00701769">
        <w:rPr>
          <w:rFonts w:ascii="Arial" w:eastAsia="Times New Roman" w:hAnsi="Arial" w:cs="Arial"/>
          <w:u w:val="single"/>
          <w:lang w:eastAsia="es-ES_tradnl"/>
        </w:rPr>
        <w:t xml:space="preserve">exigirá al oferente al menos el 5% </w:t>
      </w:r>
      <w:r w:rsidRPr="00701769">
        <w:rPr>
          <w:rFonts w:ascii="Arial" w:eastAsia="Times New Roman" w:hAnsi="Arial" w:cs="Arial"/>
          <w:lang w:eastAsia="es-ES_tradnl"/>
        </w:rPr>
        <w:t xml:space="preserve">del valor del bien según inventario, tasación o documentación, debiendo ser la AC la que indique al ofererente la forma de ingreso de dicha caución y su cuantía en cada caso. No podrán ser tenidas en cuenta por la AC ofertas que no cumplan este requisito. Esta </w:t>
      </w:r>
      <w:r w:rsidRPr="00701769">
        <w:rPr>
          <w:rFonts w:ascii="Arial" w:eastAsia="Times New Roman" w:hAnsi="Arial" w:cs="Arial"/>
          <w:u w:val="single"/>
          <w:lang w:eastAsia="es-ES_tradnl"/>
        </w:rPr>
        <w:t>caución, que no será masa activa</w:t>
      </w:r>
      <w:r w:rsidRPr="00701769">
        <w:rPr>
          <w:rFonts w:ascii="Arial" w:eastAsia="Times New Roman" w:hAnsi="Arial" w:cs="Arial"/>
          <w:lang w:eastAsia="es-ES_tradnl"/>
        </w:rPr>
        <w:t xml:space="preserve"> del concurso, será devuelta por la AC a los oferentes que no resulten adjudicatarios. </w:t>
      </w:r>
    </w:p>
    <w:p w:rsidR="00701769" w:rsidRPr="00701769" w:rsidRDefault="00701769" w:rsidP="00DA22D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-En el caso de existir varios postores sobre un mismo bien, si adjudicado dicho bien o bienes el adjudicatario </w:t>
      </w:r>
      <w:r w:rsidRPr="00701769">
        <w:rPr>
          <w:rFonts w:ascii="Arial" w:eastAsia="Times New Roman" w:hAnsi="Arial" w:cs="Arial"/>
          <w:u w:val="single"/>
          <w:lang w:eastAsia="es-ES_tradnl"/>
        </w:rPr>
        <w:t>no abonare el precio completo en el plazo de 5 días hábiles, la adjudicación quedará sin efecto</w:t>
      </w:r>
      <w:r w:rsidRPr="00701769">
        <w:rPr>
          <w:rFonts w:ascii="Arial" w:eastAsia="Times New Roman" w:hAnsi="Arial" w:cs="Arial"/>
          <w:lang w:eastAsia="es-ES_tradnl"/>
        </w:rPr>
        <w:t xml:space="preserve">, el adjudicatario perderá la caución entregada </w:t>
      </w:r>
      <w:r w:rsidRPr="00701769">
        <w:rPr>
          <w:rFonts w:ascii="Arial" w:eastAsia="Times New Roman" w:hAnsi="Arial" w:cs="Arial"/>
          <w:lang w:eastAsia="es-ES_tradnl"/>
        </w:rPr>
        <w:lastRenderedPageBreak/>
        <w:t xml:space="preserve">(que se considerará masa activa del concurso) y la AC convocará una subasta presencial (a la que dará la misma publicidad que a la primera subasta, </w:t>
      </w:r>
      <w:r w:rsidRPr="00701769">
        <w:rPr>
          <w:rFonts w:ascii="Arial" w:eastAsia="Times New Roman" w:hAnsi="Arial" w:cs="Arial"/>
          <w:u w:val="single"/>
          <w:lang w:eastAsia="es-ES_tradnl"/>
        </w:rPr>
        <w:t>además de convocar individualmente a los restantes postores</w:t>
      </w:r>
      <w:r w:rsidRPr="00701769">
        <w:rPr>
          <w:rFonts w:ascii="Arial" w:eastAsia="Times New Roman" w:hAnsi="Arial" w:cs="Arial"/>
          <w:lang w:eastAsia="es-ES_tradnl"/>
        </w:rPr>
        <w:t xml:space="preserve">) en el plazo de 10 días naturales. Celebrada dicha subasta presencial, la AC adjudicará el bien al titular de la mejor oferta, siempre que sea superior al 50% de los citados valores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2.2. Segunda Fase: Venta mediante Entidad Especializada.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lang w:eastAsia="es-ES_tradnl"/>
        </w:rPr>
      </w:pPr>
      <w:r w:rsidRPr="00701769">
        <w:rPr>
          <w:rFonts w:ascii="Arial" w:eastAsia="Times New Roman" w:hAnsi="Arial" w:cs="Arial"/>
          <w:lang w:eastAsia="es-ES_tradnl"/>
        </w:rPr>
        <w:t>-</w:t>
      </w:r>
      <w:r w:rsidRPr="00701769">
        <w:rPr>
          <w:rFonts w:ascii="Arial" w:eastAsia="Times New Roman" w:hAnsi="Arial" w:cs="Arial"/>
          <w:b/>
          <w:bCs/>
          <w:lang w:eastAsia="es-ES_tradnl"/>
        </w:rPr>
        <w:t>Una vez finalizada la fase 1</w:t>
      </w:r>
      <w:r w:rsidRPr="00701769">
        <w:rPr>
          <w:rFonts w:ascii="Arial" w:eastAsia="Times New Roman" w:hAnsi="Arial" w:cs="Arial"/>
          <w:lang w:eastAsia="es-ES_tradnl"/>
        </w:rPr>
        <w:t xml:space="preserve">, y sin solución de continuidad, se apertura esta fase segunda que tendrá una duración de 4 meses. </w:t>
      </w:r>
    </w:p>
    <w:p w:rsidR="00701769" w:rsidRPr="00701769" w:rsidRDefault="00701769" w:rsidP="00DA22D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-Los emolumentos de la entidad especializada serán </w:t>
      </w:r>
      <w:r w:rsidRPr="00701769">
        <w:rPr>
          <w:rFonts w:ascii="Arial" w:eastAsia="Times New Roman" w:hAnsi="Arial" w:cs="Arial"/>
          <w:u w:val="single"/>
          <w:lang w:eastAsia="es-ES_tradnl"/>
        </w:rPr>
        <w:t>abonados por el adquirente</w:t>
      </w:r>
      <w:r w:rsidRPr="00701769">
        <w:rPr>
          <w:rFonts w:ascii="Arial" w:eastAsia="Times New Roman" w:hAnsi="Arial" w:cs="Arial"/>
          <w:lang w:eastAsia="es-ES_tradnl"/>
        </w:rPr>
        <w:t xml:space="preserve"> de los bienes, pero la cantidad que exceda del </w:t>
      </w:r>
      <w:r w:rsidRPr="00701769">
        <w:rPr>
          <w:rFonts w:ascii="Arial" w:eastAsia="Times New Roman" w:hAnsi="Arial" w:cs="Arial"/>
          <w:b/>
          <w:bCs/>
          <w:lang w:eastAsia="es-ES_tradnl"/>
        </w:rPr>
        <w:t xml:space="preserve">5% </w:t>
      </w:r>
      <w:r w:rsidRPr="00701769">
        <w:rPr>
          <w:rFonts w:ascii="Arial" w:eastAsia="Times New Roman" w:hAnsi="Arial" w:cs="Arial"/>
          <w:lang w:eastAsia="es-ES_tradnl"/>
        </w:rPr>
        <w:t xml:space="preserve">del precio de venta será asumido por la AC. </w:t>
      </w:r>
    </w:p>
    <w:p w:rsidR="00701769" w:rsidRPr="00701769" w:rsidRDefault="00701769" w:rsidP="00DA22D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-En caso de adjudicación de un bien o bienes que finalmente no sean adquiridos por el adjudicatario, no se podrá adjudicar los bienes al siguiente oferente, </w:t>
      </w:r>
      <w:r w:rsidRPr="00701769">
        <w:rPr>
          <w:rFonts w:ascii="Arial" w:eastAsia="Times New Roman" w:hAnsi="Arial" w:cs="Arial"/>
          <w:u w:val="single"/>
          <w:lang w:eastAsia="es-ES_tradnl"/>
        </w:rPr>
        <w:t>debiendo aperturarse un nuevo proceso</w:t>
      </w:r>
      <w:r w:rsidRPr="00701769">
        <w:rPr>
          <w:rFonts w:ascii="Arial" w:eastAsia="Times New Roman" w:hAnsi="Arial" w:cs="Arial"/>
          <w:lang w:eastAsia="es-ES_tradnl"/>
        </w:rPr>
        <w:t xml:space="preserve"> de subasta de libre concurrencia por plazo de 15 días (pudiendo superarse, en este caso, el plazo de cuatro meses fijado para esta fase) para lo cual se notificará este hecho a los oferentes no adjudicatarios.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2.3.- Fase Tercera: Venta por parte de la AC al mejor postor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-Una vez </w:t>
      </w:r>
      <w:r w:rsidRPr="00701769">
        <w:rPr>
          <w:rFonts w:ascii="Arial" w:eastAsia="Times New Roman" w:hAnsi="Arial" w:cs="Arial"/>
          <w:b/>
          <w:bCs/>
          <w:lang w:eastAsia="es-ES_tradnl"/>
        </w:rPr>
        <w:t>concluida la fase dos y sin solución</w:t>
      </w:r>
      <w:r w:rsidRPr="00701769">
        <w:rPr>
          <w:rFonts w:ascii="Arial" w:eastAsia="Times New Roman" w:hAnsi="Arial" w:cs="Arial"/>
          <w:lang w:eastAsia="es-ES_tradnl"/>
        </w:rPr>
        <w:t xml:space="preserve"> de continuidad se pasará a esta fase tres cuya duración será el plazo que reste desde el inicio de la fase 1 hasta un </w:t>
      </w:r>
      <w:r w:rsidRPr="00701769">
        <w:rPr>
          <w:rFonts w:ascii="Arial" w:eastAsia="Times New Roman" w:hAnsi="Arial" w:cs="Arial"/>
          <w:u w:val="single"/>
          <w:lang w:eastAsia="es-ES_tradnl"/>
        </w:rPr>
        <w:t>máximo de un año</w:t>
      </w:r>
      <w:r w:rsidRPr="00701769">
        <w:rPr>
          <w:rFonts w:ascii="Arial" w:eastAsia="Times New Roman" w:hAnsi="Arial" w:cs="Arial"/>
          <w:lang w:eastAsia="es-ES_tradnl"/>
        </w:rPr>
        <w:t xml:space="preserve">, siendo la finalidad que el plazo máximo total de la liquidación sea como máximo computando todas las fases anteriores de un año.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b/>
          <w:bCs/>
          <w:lang w:eastAsia="es-ES_tradnl"/>
        </w:rPr>
      </w:pPr>
      <w:r w:rsidRPr="00701769">
        <w:rPr>
          <w:rFonts w:ascii="Arial" w:eastAsia="Times New Roman" w:hAnsi="Arial" w:cs="Arial"/>
          <w:lang w:eastAsia="es-ES_tradnl"/>
        </w:rPr>
        <w:t xml:space="preserve">-Durante el plazo de esta fase la AC podrá recibir ofertas en libre concurrencia, </w:t>
      </w:r>
      <w:r w:rsidRPr="00701769">
        <w:rPr>
          <w:rFonts w:ascii="Arial" w:eastAsia="Times New Roman" w:hAnsi="Arial" w:cs="Arial"/>
          <w:u w:val="single"/>
          <w:lang w:eastAsia="es-ES_tradnl"/>
        </w:rPr>
        <w:t>sin tope mínimo,</w:t>
      </w:r>
      <w:r w:rsidRPr="00701769">
        <w:rPr>
          <w:rFonts w:ascii="Arial" w:eastAsia="Times New Roman" w:hAnsi="Arial" w:cs="Arial"/>
          <w:lang w:eastAsia="es-ES_tradnl"/>
        </w:rPr>
        <w:t xml:space="preserve"> y en caso de existir dos o más ofertas podrá elegir la mejor o bien realizar una subastilla entre los oferentes, en </w:t>
      </w:r>
      <w:r w:rsidRPr="00701769">
        <w:rPr>
          <w:rFonts w:ascii="Arial" w:eastAsia="Times New Roman" w:hAnsi="Arial" w:cs="Arial"/>
          <w:b/>
          <w:bCs/>
          <w:lang w:eastAsia="es-ES_tradnl"/>
        </w:rPr>
        <w:t xml:space="preserve">la forma y plazo que decida la administración concursal. </w:t>
      </w:r>
    </w:p>
    <w:p w:rsidR="00BD06E4" w:rsidRDefault="00BD06E4" w:rsidP="00701769">
      <w:pPr>
        <w:spacing w:before="100" w:beforeAutospacing="1" w:after="100" w:afterAutospacing="1" w:line="360" w:lineRule="auto"/>
        <w:rPr>
          <w:rFonts w:ascii="Arial" w:eastAsia="Times New Roman" w:hAnsi="Arial" w:cs="Arial"/>
          <w:lang w:eastAsia="es-ES_tradnl"/>
        </w:rPr>
      </w:pPr>
    </w:p>
    <w:p w:rsidR="00701769" w:rsidRPr="00701769" w:rsidRDefault="00701769" w:rsidP="00701769">
      <w:pPr>
        <w:spacing w:before="100" w:beforeAutospacing="1" w:after="100" w:afterAutospacing="1" w:line="360" w:lineRule="auto"/>
        <w:rPr>
          <w:rFonts w:ascii="Times New Roman" w:eastAsia="Times New Roman" w:hAnsi="Times New Roman" w:cs="Times New Roman"/>
          <w:lang w:eastAsia="es-ES_tradnl"/>
        </w:rPr>
      </w:pPr>
      <w:r w:rsidRPr="00701769">
        <w:rPr>
          <w:rFonts w:ascii="Arial" w:eastAsia="Times New Roman" w:hAnsi="Arial" w:cs="Arial"/>
          <w:b/>
          <w:bCs/>
          <w:lang w:eastAsia="es-ES_tradnl"/>
        </w:rPr>
        <w:lastRenderedPageBreak/>
        <w:t>2.4.- Agotamiento de plazos sin posibilidad de venta</w:t>
      </w:r>
      <w:r w:rsidRPr="00701769">
        <w:rPr>
          <w:rFonts w:ascii="Arial" w:eastAsia="Times New Roman" w:hAnsi="Arial" w:cs="Arial"/>
          <w:lang w:eastAsia="es-ES_tradnl"/>
        </w:rPr>
        <w:t xml:space="preserve">.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Una vez agotados todos los plazos expuestos, aquellos bienes que no hayan podido ser objeto de liquidación, </w:t>
      </w:r>
      <w:r w:rsidRPr="00701769">
        <w:rPr>
          <w:rFonts w:ascii="Arial" w:eastAsia="Times New Roman" w:hAnsi="Arial" w:cs="Arial"/>
          <w:b/>
          <w:bCs/>
          <w:lang w:eastAsia="es-ES_tradnl"/>
        </w:rPr>
        <w:t>se considerarán sin valor de mercado</w:t>
      </w:r>
      <w:r w:rsidRPr="00701769">
        <w:rPr>
          <w:rFonts w:ascii="Arial" w:eastAsia="Times New Roman" w:hAnsi="Arial" w:cs="Arial"/>
          <w:lang w:eastAsia="es-ES_tradnl"/>
        </w:rPr>
        <w:t xml:space="preserve"> a los efectos del proceso concursal, debiendo por ello </w:t>
      </w:r>
      <w:r w:rsidRPr="00701769">
        <w:rPr>
          <w:rFonts w:ascii="Arial" w:eastAsia="Times New Roman" w:hAnsi="Arial" w:cs="Arial"/>
          <w:u w:val="single"/>
          <w:lang w:eastAsia="es-ES_tradnl"/>
        </w:rPr>
        <w:t>la AC pedir la conclusión</w:t>
      </w:r>
      <w:r w:rsidRPr="00701769">
        <w:rPr>
          <w:rFonts w:ascii="Arial" w:eastAsia="Times New Roman" w:hAnsi="Arial" w:cs="Arial"/>
          <w:lang w:eastAsia="es-ES_tradnl"/>
        </w:rPr>
        <w:t xml:space="preserve"> del concurso por término de las operaciones de liquidación indicando en la rendición final de cuentas los bienes que no hayan podido ser liquidados, precisando que es posible pedir la conclusión y terminación del concurso aún existiendo bienes sin liquidar ex art. 152.2 y 176 bis 3 de la LC. </w:t>
      </w:r>
    </w:p>
    <w:p w:rsidR="00701769" w:rsidRPr="00701769"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3.- ESPECIALIDADES APLICABLES A LAS OFERTAS DE ADQUISICIÓN DE UNIDADES PRODUCTIVAS.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-Partiendo de la base legal de </w:t>
      </w:r>
      <w:r w:rsidRPr="00701769">
        <w:rPr>
          <w:rFonts w:ascii="Arial" w:eastAsia="Times New Roman" w:hAnsi="Arial" w:cs="Arial"/>
          <w:b/>
          <w:bCs/>
          <w:lang w:eastAsia="es-ES_tradnl"/>
        </w:rPr>
        <w:t>priorizar la venta</w:t>
      </w:r>
      <w:r w:rsidRPr="00701769">
        <w:rPr>
          <w:rFonts w:ascii="Arial" w:eastAsia="Times New Roman" w:hAnsi="Arial" w:cs="Arial"/>
          <w:lang w:eastAsia="es-ES_tradnl"/>
        </w:rPr>
        <w:t xml:space="preserve"> de Unidades Productivas </w:t>
      </w:r>
      <w:r w:rsidRPr="00701769">
        <w:rPr>
          <w:rFonts w:ascii="Arial" w:eastAsia="Times New Roman" w:hAnsi="Arial" w:cs="Arial"/>
          <w:i/>
          <w:iCs/>
          <w:lang w:eastAsia="es-ES_tradnl"/>
        </w:rPr>
        <w:t>ex art. 149.1.1a de la LC</w:t>
      </w:r>
      <w:r w:rsidRPr="00701769">
        <w:rPr>
          <w:rFonts w:ascii="Arial" w:eastAsia="Times New Roman" w:hAnsi="Arial" w:cs="Arial"/>
          <w:lang w:eastAsia="es-ES_tradnl"/>
        </w:rPr>
        <w:t xml:space="preserve">, la venta de UP </w:t>
      </w:r>
      <w:r w:rsidRPr="00701769">
        <w:rPr>
          <w:rFonts w:ascii="Arial" w:eastAsia="Times New Roman" w:hAnsi="Arial" w:cs="Arial"/>
          <w:u w:val="single"/>
          <w:lang w:eastAsia="es-ES_tradnl"/>
        </w:rPr>
        <w:t>podrá hacerse en cualquier momento del proceso de liquidación,</w:t>
      </w:r>
      <w:r w:rsidRPr="00701769">
        <w:rPr>
          <w:rFonts w:ascii="Arial" w:eastAsia="Times New Roman" w:hAnsi="Arial" w:cs="Arial"/>
          <w:lang w:eastAsia="es-ES_tradnl"/>
        </w:rPr>
        <w:t xml:space="preserve"> salvo que los bienes que sean objeto de la oferta de compra se hayan transmitido a otros adquirentes en alguna de las fases expuestas.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No obstante, en el momento en el que </w:t>
      </w:r>
      <w:r w:rsidRPr="00701769">
        <w:rPr>
          <w:rFonts w:ascii="Arial" w:eastAsia="Times New Roman" w:hAnsi="Arial" w:cs="Arial"/>
          <w:u w:val="single"/>
          <w:lang w:eastAsia="es-ES_tradnl"/>
        </w:rPr>
        <w:t>se reciba por parte de la AC una oferta</w:t>
      </w:r>
      <w:r w:rsidRPr="00701769">
        <w:rPr>
          <w:rFonts w:ascii="Arial" w:eastAsia="Times New Roman" w:hAnsi="Arial" w:cs="Arial"/>
          <w:lang w:eastAsia="es-ES_tradnl"/>
        </w:rPr>
        <w:t xml:space="preserve"> de adquisición de UP, denominada “Primera oferta de adquisición de UP”, en las condiciones que se dirá, </w:t>
      </w:r>
      <w:r w:rsidRPr="00701769">
        <w:rPr>
          <w:rFonts w:ascii="Arial" w:eastAsia="Times New Roman" w:hAnsi="Arial" w:cs="Arial"/>
          <w:b/>
          <w:bCs/>
          <w:lang w:eastAsia="es-ES_tradnl"/>
        </w:rPr>
        <w:t>se paralizará de manera automática la adjudicación</w:t>
      </w:r>
      <w:r w:rsidRPr="00701769">
        <w:rPr>
          <w:rFonts w:ascii="Arial" w:eastAsia="Times New Roman" w:hAnsi="Arial" w:cs="Arial"/>
          <w:lang w:eastAsia="es-ES_tradnl"/>
        </w:rPr>
        <w:t xml:space="preserve"> (no el proceso de liquidación que podrá seguir su curso hasta el final justo hasta antes de la transmisión al eventual adquirente) de bienes que se estén liquidando por cualquiera de las vías expuestas </w:t>
      </w:r>
      <w:r w:rsidRPr="00701769">
        <w:rPr>
          <w:rFonts w:ascii="Arial" w:eastAsia="Times New Roman" w:hAnsi="Arial" w:cs="Arial"/>
          <w:u w:val="single"/>
          <w:lang w:eastAsia="es-ES_tradnl"/>
        </w:rPr>
        <w:t>si dichos bienes están incluidos</w:t>
      </w:r>
      <w:r w:rsidRPr="00701769">
        <w:rPr>
          <w:rFonts w:ascii="Arial" w:eastAsia="Times New Roman" w:hAnsi="Arial" w:cs="Arial"/>
          <w:lang w:eastAsia="es-ES_tradnl"/>
        </w:rPr>
        <w:t xml:space="preserve"> en la oferta de compra de UP, manteniéndose la paralización hasta que se resuelva dicha venta, por ello la AC no deberá autorizar ninguna venta de los citados bienes.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-Para la venta de UP será </w:t>
      </w:r>
      <w:r w:rsidRPr="00701769">
        <w:rPr>
          <w:rFonts w:ascii="Arial" w:eastAsia="Times New Roman" w:hAnsi="Arial" w:cs="Arial"/>
          <w:b/>
          <w:bCs/>
          <w:lang w:eastAsia="es-ES_tradnl"/>
        </w:rPr>
        <w:t xml:space="preserve">necesario solicitar autorización </w:t>
      </w:r>
      <w:r w:rsidRPr="00701769">
        <w:rPr>
          <w:rFonts w:ascii="Arial" w:eastAsia="Times New Roman" w:hAnsi="Arial" w:cs="Arial"/>
          <w:b/>
          <w:bCs/>
          <w:i/>
          <w:iCs/>
          <w:lang w:eastAsia="es-ES_tradnl"/>
        </w:rPr>
        <w:t>ex art. 188 de la LC</w:t>
      </w:r>
      <w:r w:rsidRPr="00701769">
        <w:rPr>
          <w:rFonts w:ascii="Arial" w:eastAsia="Times New Roman" w:hAnsi="Arial" w:cs="Arial"/>
          <w:i/>
          <w:iCs/>
          <w:lang w:eastAsia="es-ES_tradnl"/>
        </w:rPr>
        <w:t>,</w:t>
      </w:r>
      <w:r w:rsidRPr="00701769">
        <w:rPr>
          <w:rFonts w:ascii="Arial" w:eastAsia="Times New Roman" w:hAnsi="Arial" w:cs="Arial"/>
          <w:lang w:eastAsia="es-ES_tradnl"/>
        </w:rPr>
        <w:t xml:space="preserve"> que se tramitará conforme dispone dicho precepto, aperturándose para ello incidente en la pieza de liquidación. En el seno de dicho proceso se podrá establecer por el Juez un proceso reglado de subasta para la obtención de otras ofertas de adquisición de la UP, indicando las condiciones de las ofertas, plazos etc, acorde a las especialidades de cada UP que puedan ser objeto de venta.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lastRenderedPageBreak/>
        <w:t xml:space="preserve">-La </w:t>
      </w:r>
      <w:r w:rsidRPr="00701769">
        <w:rPr>
          <w:rFonts w:ascii="Arial" w:eastAsia="Times New Roman" w:hAnsi="Arial" w:cs="Arial"/>
          <w:u w:val="single"/>
          <w:lang w:eastAsia="es-ES_tradnl"/>
        </w:rPr>
        <w:t>“Primera oferta de adquisición de UP” deberá reunir</w:t>
      </w:r>
      <w:r w:rsidRPr="00701769">
        <w:rPr>
          <w:rFonts w:ascii="Arial" w:eastAsia="Times New Roman" w:hAnsi="Arial" w:cs="Arial"/>
          <w:lang w:eastAsia="es-ES_tradnl"/>
        </w:rPr>
        <w:t xml:space="preserve"> al menos estos requisitos: </w:t>
      </w:r>
    </w:p>
    <w:p w:rsidR="00701769" w:rsidRPr="00701769" w:rsidRDefault="00701769" w:rsidP="00BD06E4">
      <w:pPr>
        <w:spacing w:before="100" w:beforeAutospacing="1" w:after="100" w:afterAutospacing="1" w:line="360" w:lineRule="auto"/>
        <w:jc w:val="both"/>
        <w:rPr>
          <w:rFonts w:ascii="Arial" w:eastAsia="Times New Roman" w:hAnsi="Arial" w:cs="Arial"/>
          <w:sz w:val="22"/>
          <w:szCs w:val="22"/>
          <w:lang w:eastAsia="es-ES_tradnl"/>
        </w:rPr>
      </w:pPr>
      <w:r w:rsidRPr="00701769">
        <w:rPr>
          <w:rFonts w:ascii="Arial" w:eastAsia="Times New Roman" w:hAnsi="Arial" w:cs="Arial"/>
          <w:sz w:val="22"/>
          <w:szCs w:val="22"/>
          <w:lang w:eastAsia="es-ES_tradnl"/>
        </w:rPr>
        <w:t xml:space="preserve">a) Como regla general deberá atenderse a lo previsto en el </w:t>
      </w:r>
      <w:r w:rsidRPr="00701769">
        <w:rPr>
          <w:rFonts w:ascii="Arial" w:eastAsia="Times New Roman" w:hAnsi="Arial" w:cs="Arial"/>
          <w:i/>
          <w:iCs/>
          <w:sz w:val="22"/>
          <w:szCs w:val="22"/>
          <w:lang w:eastAsia="es-ES_tradnl"/>
        </w:rPr>
        <w:t xml:space="preserve">art. 146 bis </w:t>
      </w:r>
      <w:r w:rsidRPr="00701769">
        <w:rPr>
          <w:rFonts w:ascii="Arial" w:eastAsia="Times New Roman" w:hAnsi="Arial" w:cs="Arial"/>
          <w:sz w:val="22"/>
          <w:szCs w:val="22"/>
          <w:lang w:eastAsia="es-ES_tradnl"/>
        </w:rPr>
        <w:t>de la LC</w:t>
      </w:r>
      <w:r w:rsidRPr="00701769">
        <w:rPr>
          <w:rFonts w:ascii="Arial" w:eastAsia="Times New Roman" w:hAnsi="Arial" w:cs="Arial"/>
          <w:sz w:val="22"/>
          <w:szCs w:val="22"/>
          <w:lang w:eastAsia="es-ES_tradnl"/>
        </w:rPr>
        <w:br/>
        <w:t xml:space="preserve">b) Deberá definirse de manera clara e individualizada en la medida de lo posible, todos los bienes y derechos que integran la UP cuya adquisición se oferta. </w:t>
      </w:r>
    </w:p>
    <w:p w:rsidR="00701769" w:rsidRPr="00701769" w:rsidRDefault="00701769" w:rsidP="00BD06E4">
      <w:pPr>
        <w:spacing w:before="100" w:beforeAutospacing="1" w:after="100" w:afterAutospacing="1" w:line="360" w:lineRule="auto"/>
        <w:jc w:val="both"/>
        <w:rPr>
          <w:rFonts w:ascii="Arial" w:eastAsia="Times New Roman" w:hAnsi="Arial" w:cs="Arial"/>
          <w:sz w:val="22"/>
          <w:szCs w:val="22"/>
          <w:lang w:eastAsia="es-ES_tradnl"/>
        </w:rPr>
      </w:pPr>
      <w:r w:rsidRPr="00701769">
        <w:rPr>
          <w:rFonts w:ascii="Arial" w:eastAsia="Times New Roman" w:hAnsi="Arial" w:cs="Arial"/>
          <w:sz w:val="22"/>
          <w:szCs w:val="22"/>
          <w:lang w:eastAsia="es-ES_tradnl"/>
        </w:rPr>
        <w:t xml:space="preserve">c) Deberá fijarse por el oferente que porcentaje de la oferta entiende que corresponde imputar a cada uno de los </w:t>
      </w:r>
      <w:r w:rsidRPr="00701769">
        <w:rPr>
          <w:rFonts w:ascii="Arial" w:eastAsia="Times New Roman" w:hAnsi="Arial" w:cs="Arial"/>
          <w:sz w:val="22"/>
          <w:szCs w:val="22"/>
          <w:u w:val="single"/>
          <w:lang w:eastAsia="es-ES_tradnl"/>
        </w:rPr>
        <w:t>bienes que garanticen privilegios especiales</w:t>
      </w:r>
      <w:r w:rsidRPr="00701769">
        <w:rPr>
          <w:rFonts w:ascii="Arial" w:eastAsia="Times New Roman" w:hAnsi="Arial" w:cs="Arial"/>
          <w:sz w:val="22"/>
          <w:szCs w:val="22"/>
          <w:lang w:eastAsia="es-ES_tradnl"/>
        </w:rPr>
        <w:t xml:space="preserve">. </w:t>
      </w:r>
    </w:p>
    <w:p w:rsidR="00701769" w:rsidRPr="00701769" w:rsidRDefault="00701769" w:rsidP="00BD06E4">
      <w:pPr>
        <w:spacing w:before="100" w:beforeAutospacing="1" w:after="100" w:afterAutospacing="1" w:line="360" w:lineRule="auto"/>
        <w:jc w:val="both"/>
        <w:rPr>
          <w:rFonts w:ascii="Arial" w:eastAsia="Times New Roman" w:hAnsi="Arial" w:cs="Arial"/>
          <w:sz w:val="22"/>
          <w:szCs w:val="22"/>
          <w:lang w:eastAsia="es-ES_tradnl"/>
        </w:rPr>
      </w:pPr>
      <w:r w:rsidRPr="00701769">
        <w:rPr>
          <w:rFonts w:ascii="Arial" w:eastAsia="Times New Roman" w:hAnsi="Arial" w:cs="Arial"/>
          <w:sz w:val="22"/>
          <w:szCs w:val="22"/>
          <w:lang w:eastAsia="es-ES_tradnl"/>
        </w:rPr>
        <w:t xml:space="preserve">d) Se exigirá una </w:t>
      </w:r>
      <w:r w:rsidRPr="00701769">
        <w:rPr>
          <w:rFonts w:ascii="Arial" w:eastAsia="Times New Roman" w:hAnsi="Arial" w:cs="Arial"/>
          <w:sz w:val="22"/>
          <w:szCs w:val="22"/>
          <w:u w:val="single"/>
          <w:lang w:eastAsia="es-ES_tradnl"/>
        </w:rPr>
        <w:t>caución mínima al oferente del 5%</w:t>
      </w:r>
      <w:r w:rsidRPr="00701769">
        <w:rPr>
          <w:rFonts w:ascii="Arial" w:eastAsia="Times New Roman" w:hAnsi="Arial" w:cs="Arial"/>
          <w:sz w:val="22"/>
          <w:szCs w:val="22"/>
          <w:lang w:eastAsia="es-ES_tradnl"/>
        </w:rPr>
        <w:t xml:space="preserve"> (en cualquiera de los medios previstos en el artículo 529.3 de la Ley de Enjuiciamiento Civil) del valor de los bienes que sean objeto de adquisición según los textos definitivos, provisionales o inventario del deudor, </w:t>
      </w:r>
      <w:r w:rsidRPr="00701769">
        <w:rPr>
          <w:rFonts w:ascii="Arial" w:eastAsia="Times New Roman" w:hAnsi="Arial" w:cs="Arial"/>
          <w:sz w:val="22"/>
          <w:szCs w:val="22"/>
          <w:u w:val="single"/>
          <w:lang w:eastAsia="es-ES_tradnl"/>
        </w:rPr>
        <w:t>salvo que la AC atendidas las circunstancias decida rebajar</w:t>
      </w:r>
      <w:r w:rsidRPr="00701769">
        <w:rPr>
          <w:rFonts w:ascii="Arial" w:eastAsia="Times New Roman" w:hAnsi="Arial" w:cs="Arial"/>
          <w:sz w:val="22"/>
          <w:szCs w:val="22"/>
          <w:lang w:eastAsia="es-ES_tradnl"/>
        </w:rPr>
        <w:t xml:space="preserve"> esta exigencia o no exigir caución alguna, lo </w:t>
      </w:r>
      <w:r w:rsidRPr="00701769">
        <w:rPr>
          <w:rFonts w:ascii="Arial" w:eastAsia="Times New Roman" w:hAnsi="Arial" w:cs="Arial"/>
          <w:sz w:val="22"/>
          <w:szCs w:val="22"/>
          <w:u w:val="single"/>
          <w:lang w:eastAsia="es-ES_tradnl"/>
        </w:rPr>
        <w:t>que deberá justificar</w:t>
      </w:r>
      <w:r w:rsidRPr="00701769">
        <w:rPr>
          <w:rFonts w:ascii="Arial" w:eastAsia="Times New Roman" w:hAnsi="Arial" w:cs="Arial"/>
          <w:sz w:val="22"/>
          <w:szCs w:val="22"/>
          <w:lang w:eastAsia="es-ES_tradnl"/>
        </w:rPr>
        <w:t xml:space="preserve"> en la solicitud que presente.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4.- TRATAMIENTO PRIVILEGIOS ESPECIALES.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Puesto que en la totalidad de las fases se ha permitido la libre concurrencia de ofertas y, por tanto, </w:t>
      </w:r>
      <w:r w:rsidRPr="00701769">
        <w:rPr>
          <w:rFonts w:ascii="Arial" w:eastAsia="Times New Roman" w:hAnsi="Arial" w:cs="Arial"/>
          <w:b/>
          <w:bCs/>
          <w:lang w:eastAsia="es-ES_tradnl"/>
        </w:rPr>
        <w:t>no hay ninguna fase en la que exista la posibilidad de venta directa sin posibilidad de libre concurrencia</w:t>
      </w:r>
      <w:r w:rsidRPr="00701769">
        <w:rPr>
          <w:rFonts w:ascii="Arial" w:eastAsia="Times New Roman" w:hAnsi="Arial" w:cs="Arial"/>
          <w:lang w:eastAsia="es-ES_tradnl"/>
        </w:rPr>
        <w:t xml:space="preserve">, </w:t>
      </w:r>
      <w:r w:rsidRPr="00701769">
        <w:rPr>
          <w:rFonts w:ascii="Arial" w:eastAsia="Times New Roman" w:hAnsi="Arial" w:cs="Arial"/>
          <w:u w:val="single"/>
          <w:lang w:eastAsia="es-ES_tradnl"/>
        </w:rPr>
        <w:t>no será preciso recabar el consentimiento del acreedor privilegiado,</w:t>
      </w:r>
      <w:r w:rsidRPr="00701769">
        <w:rPr>
          <w:rFonts w:ascii="Arial" w:eastAsia="Times New Roman" w:hAnsi="Arial" w:cs="Arial"/>
          <w:lang w:eastAsia="es-ES_tradnl"/>
        </w:rPr>
        <w:t xml:space="preserve"> ya que la previsión del </w:t>
      </w:r>
      <w:r w:rsidRPr="00701769">
        <w:rPr>
          <w:rFonts w:ascii="Arial" w:eastAsia="Times New Roman" w:hAnsi="Arial" w:cs="Arial"/>
          <w:i/>
          <w:iCs/>
          <w:lang w:eastAsia="es-ES_tradnl"/>
        </w:rPr>
        <w:t>art. 155.4 de la LC</w:t>
      </w:r>
      <w:r w:rsidRPr="00701769">
        <w:rPr>
          <w:rFonts w:ascii="Arial" w:eastAsia="Times New Roman" w:hAnsi="Arial" w:cs="Arial"/>
          <w:lang w:eastAsia="es-ES_tradnl"/>
        </w:rPr>
        <w:t xml:space="preserve"> lo es para las ventas directas, no para las ventas por medio de subastas término que además el artículo citado emplea sin indicar que la subasta debe ser judicial como además se ha expuesto </w:t>
      </w:r>
      <w:r w:rsidR="00BD06E4" w:rsidRPr="00BD06E4">
        <w:rPr>
          <w:rFonts w:ascii="Arial" w:eastAsia="Times New Roman" w:hAnsi="Arial" w:cs="Arial"/>
          <w:i/>
          <w:iCs/>
          <w:lang w:eastAsia="es-ES_tradnl"/>
        </w:rPr>
        <w:t>ut</w:t>
      </w:r>
      <w:r w:rsidRPr="00701769">
        <w:rPr>
          <w:rFonts w:ascii="Arial" w:eastAsia="Times New Roman" w:hAnsi="Arial" w:cs="Arial"/>
          <w:i/>
          <w:iCs/>
          <w:lang w:eastAsia="es-ES_tradnl"/>
        </w:rPr>
        <w:t xml:space="preserve"> supra</w:t>
      </w:r>
      <w:r w:rsidRPr="00701769">
        <w:rPr>
          <w:rFonts w:ascii="Arial" w:eastAsia="Times New Roman" w:hAnsi="Arial" w:cs="Arial"/>
          <w:lang w:eastAsia="es-ES_tradnl"/>
        </w:rPr>
        <w:t xml:space="preserve">. </w:t>
      </w:r>
    </w:p>
    <w:p w:rsidR="00701769" w:rsidRPr="00701769" w:rsidRDefault="00701769" w:rsidP="00BD06E4">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 El acreedor con </w:t>
      </w:r>
      <w:r w:rsidRPr="00701769">
        <w:rPr>
          <w:rFonts w:ascii="Arial" w:eastAsia="Times New Roman" w:hAnsi="Arial" w:cs="Arial"/>
          <w:u w:val="single"/>
          <w:lang w:eastAsia="es-ES_tradnl"/>
        </w:rPr>
        <w:t>privilegio especial no deberá consignar cantidad alguna</w:t>
      </w:r>
      <w:r w:rsidRPr="00701769">
        <w:rPr>
          <w:rFonts w:ascii="Arial" w:eastAsia="Times New Roman" w:hAnsi="Arial" w:cs="Arial"/>
          <w:lang w:eastAsia="es-ES_tradnl"/>
        </w:rPr>
        <w:t xml:space="preserve"> en los casos en los que decida participar en la subasta de los bienes y se exija dicha caución. </w:t>
      </w:r>
    </w:p>
    <w:p w:rsidR="00BD06E4" w:rsidRDefault="00701769" w:rsidP="00BD06E4">
      <w:pPr>
        <w:spacing w:before="100" w:beforeAutospacing="1" w:after="100" w:afterAutospacing="1" w:line="360" w:lineRule="auto"/>
        <w:rPr>
          <w:rFonts w:ascii="Arial" w:eastAsia="Times New Roman" w:hAnsi="Arial" w:cs="Arial"/>
          <w:lang w:eastAsia="es-ES_tradnl"/>
        </w:rPr>
      </w:pPr>
      <w:r w:rsidRPr="00701769">
        <w:rPr>
          <w:rFonts w:ascii="Arial" w:eastAsia="Times New Roman" w:hAnsi="Arial" w:cs="Arial"/>
          <w:lang w:eastAsia="es-ES_tradnl"/>
        </w:rPr>
        <w:t xml:space="preserve">-En el caso de ventas de bienes con privilegio especial que se produzcan </w:t>
      </w:r>
      <w:r w:rsidRPr="00701769">
        <w:rPr>
          <w:rFonts w:ascii="Arial" w:eastAsia="Times New Roman" w:hAnsi="Arial" w:cs="Arial"/>
          <w:u w:val="single"/>
          <w:lang w:eastAsia="es-ES_tradnl"/>
        </w:rPr>
        <w:t>dentro de la primera fase</w:t>
      </w:r>
      <w:r w:rsidRPr="00701769">
        <w:rPr>
          <w:rFonts w:ascii="Arial" w:eastAsia="Times New Roman" w:hAnsi="Arial" w:cs="Arial"/>
          <w:lang w:eastAsia="es-ES_tradnl"/>
        </w:rPr>
        <w:t xml:space="preserve"> expuesta, el acreedor con privilegio especial </w:t>
      </w:r>
      <w:r w:rsidRPr="00701769">
        <w:rPr>
          <w:rFonts w:ascii="Arial" w:eastAsia="Times New Roman" w:hAnsi="Arial" w:cs="Arial"/>
          <w:u w:val="single"/>
          <w:lang w:eastAsia="es-ES_tradnl"/>
        </w:rPr>
        <w:t>tendrá derecho a igualar la</w:t>
      </w:r>
      <w:r w:rsidR="00BD06E4" w:rsidRPr="001D75EE">
        <w:rPr>
          <w:rFonts w:ascii="Arial" w:eastAsia="Times New Roman" w:hAnsi="Arial" w:cs="Arial"/>
          <w:u w:val="single"/>
          <w:lang w:eastAsia="es-ES_tradnl"/>
        </w:rPr>
        <w:t xml:space="preserve"> </w:t>
      </w:r>
      <w:r w:rsidRPr="00701769">
        <w:rPr>
          <w:rFonts w:ascii="Arial" w:eastAsia="Times New Roman" w:hAnsi="Arial" w:cs="Arial"/>
          <w:u w:val="single"/>
          <w:lang w:eastAsia="es-ES_tradnl"/>
        </w:rPr>
        <w:t>mejor oferta realizada</w:t>
      </w:r>
      <w:r w:rsidRPr="00701769">
        <w:rPr>
          <w:rFonts w:ascii="Arial" w:eastAsia="Times New Roman" w:hAnsi="Arial" w:cs="Arial"/>
          <w:lang w:eastAsia="es-ES_tradnl"/>
        </w:rPr>
        <w:t>.</w:t>
      </w:r>
      <w:r w:rsidRPr="00701769">
        <w:rPr>
          <w:rFonts w:ascii="Arial" w:eastAsia="Times New Roman" w:hAnsi="Arial" w:cs="Arial"/>
          <w:lang w:eastAsia="es-ES_tradnl"/>
        </w:rPr>
        <w:br/>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lastRenderedPageBreak/>
        <w:t xml:space="preserve">A tal efecto, el acreedor privilegiado deberá comunicar una dirección de correo electrónico a la AC en el plazo de quince días desde la fecha del auto de aprobación del plan de liquidación.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Si el acreedor privilegiado </w:t>
      </w:r>
      <w:r w:rsidRPr="00701769">
        <w:rPr>
          <w:rFonts w:ascii="Arial" w:eastAsia="Times New Roman" w:hAnsi="Arial" w:cs="Arial"/>
          <w:u w:val="single"/>
          <w:lang w:eastAsia="es-ES_tradnl"/>
        </w:rPr>
        <w:t>comunica a la AC que iguala la oferta y se retracta posteriormente,</w:t>
      </w:r>
      <w:r w:rsidRPr="00701769">
        <w:rPr>
          <w:rFonts w:ascii="Arial" w:eastAsia="Times New Roman" w:hAnsi="Arial" w:cs="Arial"/>
          <w:lang w:eastAsia="es-ES_tradnl"/>
        </w:rPr>
        <w:t xml:space="preserve"> del importe que haya de entregársele en pago del crédito privilegiado se deducirá el importe correspondiente a la caución que hubiere debido entregar para la realización de la oferta de no tratarse de un acreedor privilegiado. Dicho importe se mantendrá en la masa activa del concurso.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w:t>
      </w:r>
      <w:r w:rsidRPr="00701769">
        <w:rPr>
          <w:rFonts w:ascii="Arial" w:eastAsia="Times New Roman" w:hAnsi="Arial" w:cs="Arial"/>
          <w:u w:val="single"/>
          <w:lang w:eastAsia="es-ES_tradnl"/>
        </w:rPr>
        <w:t>Se da la opción al titular del privilegio especial de ceder la adjudicación</w:t>
      </w:r>
      <w:r w:rsidRPr="00701769">
        <w:rPr>
          <w:rFonts w:ascii="Arial" w:eastAsia="Times New Roman" w:hAnsi="Arial" w:cs="Arial"/>
          <w:lang w:eastAsia="es-ES_tradnl"/>
        </w:rPr>
        <w:t xml:space="preserve"> que consiga en cualquiera de los sistemas de liquidación.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-Precisar que </w:t>
      </w:r>
      <w:r w:rsidRPr="00701769">
        <w:rPr>
          <w:rFonts w:ascii="Arial" w:eastAsia="Times New Roman" w:hAnsi="Arial" w:cs="Arial"/>
          <w:u w:val="single"/>
          <w:lang w:eastAsia="es-ES_tradnl"/>
        </w:rPr>
        <w:t>no se concede ningún sistema específico de dación en pago de la deuda</w:t>
      </w:r>
      <w:r w:rsidRPr="00701769">
        <w:rPr>
          <w:rFonts w:ascii="Arial" w:eastAsia="Times New Roman" w:hAnsi="Arial" w:cs="Arial"/>
          <w:lang w:eastAsia="es-ES_tradnl"/>
        </w:rPr>
        <w:t xml:space="preserve"> </w:t>
      </w:r>
      <w:r w:rsidRPr="00701769">
        <w:rPr>
          <w:rFonts w:ascii="Arial" w:eastAsia="Times New Roman" w:hAnsi="Arial" w:cs="Arial"/>
          <w:b/>
          <w:bCs/>
          <w:lang w:eastAsia="es-ES_tradnl"/>
        </w:rPr>
        <w:t>dado que los titulares</w:t>
      </w:r>
      <w:r w:rsidRPr="00701769">
        <w:rPr>
          <w:rFonts w:ascii="Arial" w:eastAsia="Times New Roman" w:hAnsi="Arial" w:cs="Arial"/>
          <w:lang w:eastAsia="es-ES_tradnl"/>
        </w:rPr>
        <w:t xml:space="preserve"> de privilegios especiales </w:t>
      </w:r>
      <w:r w:rsidRPr="00701769">
        <w:rPr>
          <w:rFonts w:ascii="Arial" w:eastAsia="Times New Roman" w:hAnsi="Arial" w:cs="Arial"/>
          <w:u w:val="single"/>
          <w:lang w:eastAsia="es-ES_tradnl"/>
        </w:rPr>
        <w:t>pueden de facto hacer uso de esta opción en la fase uno de liquidación</w:t>
      </w:r>
      <w:r w:rsidRPr="00701769">
        <w:rPr>
          <w:rFonts w:ascii="Arial" w:eastAsia="Times New Roman" w:hAnsi="Arial" w:cs="Arial"/>
          <w:lang w:eastAsia="es-ES_tradnl"/>
        </w:rPr>
        <w:t xml:space="preserve"> expuesta sin coste alguno, e igualmente en el resto de fases en las misma condiciones que el resto de oferentes.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-Precisar igualmente que la parte del privilegio especial </w:t>
      </w:r>
      <w:r w:rsidRPr="00701769">
        <w:rPr>
          <w:rFonts w:ascii="Arial" w:eastAsia="Times New Roman" w:hAnsi="Arial" w:cs="Arial"/>
          <w:u w:val="single"/>
          <w:lang w:eastAsia="es-ES_tradnl"/>
        </w:rPr>
        <w:t>que no pueda ser atendida con el producto de la liquidación tendrá la clasificación que corresponde</w:t>
      </w:r>
      <w:r w:rsidRPr="00701769">
        <w:rPr>
          <w:rFonts w:ascii="Arial" w:eastAsia="Times New Roman" w:hAnsi="Arial" w:cs="Arial"/>
          <w:lang w:eastAsia="es-ES_tradnl"/>
        </w:rPr>
        <w:t xml:space="preserve"> según la LC, indicando que el Plan de Liquidación ni es el instumento ni puede modificar las reglas de pagos que disciplina la LC, siendo ocioso por ello incidir sobre lo que ya dispone la norma.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5.- CARGAS Y REGISTROS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 Todos los bienes objeto de venta serán </w:t>
      </w:r>
      <w:r w:rsidRPr="00701769">
        <w:rPr>
          <w:rFonts w:ascii="Arial" w:eastAsia="Times New Roman" w:hAnsi="Arial" w:cs="Arial"/>
          <w:u w:val="single"/>
          <w:lang w:eastAsia="es-ES_tradnl"/>
        </w:rPr>
        <w:t xml:space="preserve">libres de cargas </w:t>
      </w:r>
      <w:r w:rsidRPr="00701769">
        <w:rPr>
          <w:rFonts w:ascii="Arial" w:eastAsia="Times New Roman" w:hAnsi="Arial" w:cs="Arial"/>
          <w:lang w:eastAsia="es-ES_tradnl"/>
        </w:rPr>
        <w:t xml:space="preserve">de conformidad con el artículo </w:t>
      </w:r>
      <w:r w:rsidRPr="00701769">
        <w:rPr>
          <w:rFonts w:ascii="Arial" w:eastAsia="Times New Roman" w:hAnsi="Arial" w:cs="Arial"/>
          <w:i/>
          <w:iCs/>
          <w:lang w:eastAsia="es-ES_tradnl"/>
        </w:rPr>
        <w:t>149.5 de la LC</w:t>
      </w:r>
      <w:r w:rsidRPr="00701769">
        <w:rPr>
          <w:rFonts w:ascii="Arial" w:eastAsia="Times New Roman" w:hAnsi="Arial" w:cs="Arial"/>
          <w:lang w:eastAsia="es-ES_tradnl"/>
        </w:rPr>
        <w:t xml:space="preserve">, precepto que únicamente </w:t>
      </w:r>
      <w:r w:rsidRPr="00701769">
        <w:rPr>
          <w:rFonts w:ascii="Arial" w:eastAsia="Times New Roman" w:hAnsi="Arial" w:cs="Arial"/>
          <w:u w:val="single"/>
          <w:lang w:eastAsia="es-ES_tradnl"/>
        </w:rPr>
        <w:t xml:space="preserve">mantiene las garantías de los privilegios especiales </w:t>
      </w:r>
      <w:r w:rsidRPr="00701769">
        <w:rPr>
          <w:rFonts w:ascii="Arial" w:eastAsia="Times New Roman" w:hAnsi="Arial" w:cs="Arial"/>
          <w:lang w:eastAsia="es-ES_tradnl"/>
        </w:rPr>
        <w:t xml:space="preserve">en el único caso de transmisión de los bienes con subsistencia del gravamen. No obstante </w:t>
      </w:r>
      <w:r w:rsidR="001D75EE">
        <w:rPr>
          <w:rFonts w:ascii="Arial" w:eastAsia="Times New Roman" w:hAnsi="Arial" w:cs="Arial"/>
          <w:lang w:eastAsia="es-ES_tradnl"/>
        </w:rPr>
        <w:t xml:space="preserve">, </w:t>
      </w:r>
      <w:r w:rsidRPr="00701769">
        <w:rPr>
          <w:rFonts w:ascii="Arial" w:eastAsia="Times New Roman" w:hAnsi="Arial" w:cs="Arial"/>
          <w:lang w:eastAsia="es-ES_tradnl"/>
        </w:rPr>
        <w:t xml:space="preserve">los mandamientos de cancelación de cargas únicamente se emitirán por el juzgado </w:t>
      </w:r>
      <w:r w:rsidRPr="00701769">
        <w:rPr>
          <w:rFonts w:ascii="Arial" w:eastAsia="Times New Roman" w:hAnsi="Arial" w:cs="Arial"/>
          <w:u w:val="single"/>
          <w:lang w:eastAsia="es-ES_tradnl"/>
        </w:rPr>
        <w:t xml:space="preserve">una vez se aporte por la AC acreditación de la efectiva transmisión </w:t>
      </w:r>
      <w:r w:rsidRPr="00701769">
        <w:rPr>
          <w:rFonts w:ascii="Arial" w:eastAsia="Times New Roman" w:hAnsi="Arial" w:cs="Arial"/>
          <w:lang w:eastAsia="es-ES_tradnl"/>
        </w:rPr>
        <w:t xml:space="preserve">de los bienes y, en el caso de bienes sujetos a privilegio especial, el pago al acreedor privilegiado. </w:t>
      </w:r>
    </w:p>
    <w:p w:rsidR="00701769" w:rsidRPr="00701769" w:rsidRDefault="00701769" w:rsidP="00701769">
      <w:pPr>
        <w:spacing w:line="360" w:lineRule="auto"/>
        <w:rPr>
          <w:rFonts w:ascii="Times New Roman" w:eastAsia="Times New Roman" w:hAnsi="Times New Roman" w:cs="Times New Roman"/>
          <w:lang w:eastAsia="es-ES_tradnl"/>
        </w:rPr>
      </w:pPr>
    </w:p>
    <w:p w:rsidR="001D75EE" w:rsidRPr="001D75EE" w:rsidRDefault="00701769" w:rsidP="00701769">
      <w:pPr>
        <w:spacing w:before="100" w:beforeAutospacing="1" w:after="100" w:afterAutospacing="1" w:line="360" w:lineRule="auto"/>
        <w:rPr>
          <w:rFonts w:ascii="Times New Roman" w:eastAsia="Times New Roman" w:hAnsi="Times New Roman" w:cs="Times New Roman"/>
          <w:b/>
          <w:bCs/>
          <w:lang w:eastAsia="es-ES_tradnl"/>
        </w:rPr>
      </w:pPr>
      <w:r w:rsidRPr="00701769">
        <w:rPr>
          <w:rFonts w:ascii="Arial" w:eastAsia="Times New Roman" w:hAnsi="Arial" w:cs="Arial"/>
          <w:b/>
          <w:bCs/>
          <w:lang w:eastAsia="es-ES_tradnl"/>
        </w:rPr>
        <w:t xml:space="preserve">6- PAGOS.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-Los pagos que se produzcan con el producto de la liquidación serán ejecutados exactamente en las condiciones que ordena la LC, no pudiendo el Plan de Liquidación modificar lo que dispone la norma para los pagos a los acreedores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lang w:eastAsia="es-ES_tradnl"/>
        </w:rPr>
        <w:t xml:space="preserve">-Los impuestos, tasas etc, que se puedan generar en las operaciones de liquidación serán </w:t>
      </w:r>
      <w:r w:rsidRPr="00701769">
        <w:rPr>
          <w:rFonts w:ascii="Arial" w:eastAsia="Times New Roman" w:hAnsi="Arial" w:cs="Arial"/>
          <w:u w:val="single"/>
          <w:lang w:eastAsia="es-ES_tradnl"/>
        </w:rPr>
        <w:t xml:space="preserve">abonados por quien la norma oportuna determine como sujeto pasivo del dicho impuesto, tasa o tributo, ello sin perjuicio de </w:t>
      </w:r>
      <w:r w:rsidRPr="00701769">
        <w:rPr>
          <w:rFonts w:ascii="Arial" w:eastAsia="Times New Roman" w:hAnsi="Arial" w:cs="Arial"/>
          <w:b/>
          <w:bCs/>
          <w:u w:val="single"/>
          <w:lang w:eastAsia="es-ES_tradnl"/>
        </w:rPr>
        <w:t>que pueda pactarse</w:t>
      </w:r>
      <w:r w:rsidRPr="00701769">
        <w:rPr>
          <w:rFonts w:ascii="Arial" w:eastAsia="Times New Roman" w:hAnsi="Arial" w:cs="Arial"/>
          <w:lang w:eastAsia="es-ES_tradnl"/>
        </w:rPr>
        <w:t xml:space="preserve"> por el adquirente la asunción del mismo y </w:t>
      </w:r>
      <w:r w:rsidRPr="00701769">
        <w:rPr>
          <w:rFonts w:ascii="Arial" w:eastAsia="Times New Roman" w:hAnsi="Arial" w:cs="Arial"/>
          <w:u w:val="single"/>
          <w:lang w:eastAsia="es-ES_tradnl"/>
        </w:rPr>
        <w:t>sin que ello suponga la modificación del sujeto pasivo fijado legalmente s</w:t>
      </w:r>
      <w:r w:rsidRPr="00701769">
        <w:rPr>
          <w:rFonts w:ascii="Arial" w:eastAsia="Times New Roman" w:hAnsi="Arial" w:cs="Arial"/>
          <w:lang w:eastAsia="es-ES_tradnl"/>
        </w:rPr>
        <w:t xml:space="preserve">alvo que la norma oportuna permita mediante pacto la modificación de dicho sujeto pasivo. </w:t>
      </w: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-En caso de no poder proceder tras los oportunos intentos, al abono de créditos debido a la imposibilidad de localización de sus titulares, la AC podrá hacer uso de la previsión del art. 29 RD 161/97 7 de Febrero, ingresando las cantidades que no hayan podido ser abonadas en el Tesoro Público. </w:t>
      </w:r>
    </w:p>
    <w:p w:rsidR="001D75EE" w:rsidRDefault="001D75EE" w:rsidP="001D75EE">
      <w:pPr>
        <w:spacing w:before="100" w:beforeAutospacing="1" w:after="100" w:afterAutospacing="1" w:line="360" w:lineRule="auto"/>
        <w:jc w:val="both"/>
        <w:rPr>
          <w:rFonts w:ascii="Arial" w:eastAsia="Times New Roman" w:hAnsi="Arial" w:cs="Arial"/>
          <w:color w:val="000007"/>
          <w:lang w:eastAsia="es-ES_tradnl"/>
        </w:rPr>
      </w:pPr>
    </w:p>
    <w:p w:rsidR="00701769" w:rsidRPr="00701769" w:rsidRDefault="00701769" w:rsidP="001D75EE">
      <w:pPr>
        <w:spacing w:before="100" w:beforeAutospacing="1" w:after="100" w:afterAutospacing="1" w:line="360" w:lineRule="auto"/>
        <w:jc w:val="both"/>
        <w:rPr>
          <w:rFonts w:ascii="Times New Roman" w:eastAsia="Times New Roman" w:hAnsi="Times New Roman" w:cs="Times New Roman"/>
          <w:lang w:eastAsia="es-ES_tradnl"/>
        </w:rPr>
      </w:pPr>
      <w:r w:rsidRPr="00701769">
        <w:rPr>
          <w:rFonts w:ascii="Arial" w:eastAsia="Times New Roman" w:hAnsi="Arial" w:cs="Arial"/>
          <w:color w:val="000007"/>
          <w:lang w:eastAsia="es-ES_tradnl"/>
        </w:rPr>
        <w:t xml:space="preserve">Granada a 12 de Mayo de 2020 </w:t>
      </w:r>
    </w:p>
    <w:p w:rsidR="00701769" w:rsidRPr="00701769" w:rsidRDefault="00701769" w:rsidP="00701769">
      <w:pPr>
        <w:spacing w:line="360" w:lineRule="auto"/>
        <w:rPr>
          <w:rFonts w:ascii="Arial" w:hAnsi="Arial" w:cs="Arial"/>
        </w:rPr>
      </w:pPr>
    </w:p>
    <w:sectPr w:rsidR="00701769" w:rsidRPr="00701769">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82" w:rsidRDefault="00C94C82" w:rsidP="00B0685F">
      <w:r>
        <w:separator/>
      </w:r>
    </w:p>
  </w:endnote>
  <w:endnote w:type="continuationSeparator" w:id="0">
    <w:p w:rsidR="00C94C82" w:rsidRDefault="00C94C82" w:rsidP="00B0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588380289"/>
      <w:docPartObj>
        <w:docPartGallery w:val="Page Numbers (Bottom of Page)"/>
        <w:docPartUnique/>
      </w:docPartObj>
    </w:sdtPr>
    <w:sdtEndPr>
      <w:rPr>
        <w:rStyle w:val="Nmerodepgina"/>
      </w:rPr>
    </w:sdtEndPr>
    <w:sdtContent>
      <w:p w:rsidR="00B0685F" w:rsidRDefault="00B0685F" w:rsidP="00565BC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0685F" w:rsidRDefault="00B0685F" w:rsidP="00B0685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790357793"/>
      <w:docPartObj>
        <w:docPartGallery w:val="Page Numbers (Bottom of Page)"/>
        <w:docPartUnique/>
      </w:docPartObj>
    </w:sdtPr>
    <w:sdtEndPr>
      <w:rPr>
        <w:rStyle w:val="Nmerodepgina"/>
      </w:rPr>
    </w:sdtEndPr>
    <w:sdtContent>
      <w:p w:rsidR="00B0685F" w:rsidRDefault="00B0685F" w:rsidP="00565BC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8305E">
          <w:rPr>
            <w:rStyle w:val="Nmerodepgina"/>
            <w:noProof/>
          </w:rPr>
          <w:t>2</w:t>
        </w:r>
        <w:r>
          <w:rPr>
            <w:rStyle w:val="Nmerodepgina"/>
          </w:rPr>
          <w:fldChar w:fldCharType="end"/>
        </w:r>
      </w:p>
    </w:sdtContent>
  </w:sdt>
  <w:p w:rsidR="00B0685F" w:rsidRDefault="00B0685F" w:rsidP="00B0685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82" w:rsidRDefault="00C94C82" w:rsidP="00B0685F">
      <w:r>
        <w:separator/>
      </w:r>
    </w:p>
  </w:footnote>
  <w:footnote w:type="continuationSeparator" w:id="0">
    <w:p w:rsidR="00C94C82" w:rsidRDefault="00C94C82" w:rsidP="00B0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69"/>
    <w:rsid w:val="001D75EE"/>
    <w:rsid w:val="006B5763"/>
    <w:rsid w:val="00701769"/>
    <w:rsid w:val="00B0685F"/>
    <w:rsid w:val="00BD06E4"/>
    <w:rsid w:val="00BD1B6D"/>
    <w:rsid w:val="00C8305E"/>
    <w:rsid w:val="00C94C82"/>
    <w:rsid w:val="00DA109E"/>
    <w:rsid w:val="00DA22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49E28-81C2-6C49-9BF6-5ED551BB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1769"/>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B0685F"/>
    <w:pPr>
      <w:tabs>
        <w:tab w:val="center" w:pos="4419"/>
        <w:tab w:val="right" w:pos="8838"/>
      </w:tabs>
    </w:pPr>
  </w:style>
  <w:style w:type="character" w:customStyle="1" w:styleId="PiedepginaCar">
    <w:name w:val="Pie de página Car"/>
    <w:basedOn w:val="Fuentedeprrafopredeter"/>
    <w:link w:val="Piedepgina"/>
    <w:uiPriority w:val="99"/>
    <w:rsid w:val="00B0685F"/>
  </w:style>
  <w:style w:type="character" w:styleId="Nmerodepgina">
    <w:name w:val="page number"/>
    <w:basedOn w:val="Fuentedeprrafopredeter"/>
    <w:uiPriority w:val="99"/>
    <w:semiHidden/>
    <w:unhideWhenUsed/>
    <w:rsid w:val="00B0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1166">
      <w:bodyDiv w:val="1"/>
      <w:marLeft w:val="0"/>
      <w:marRight w:val="0"/>
      <w:marTop w:val="0"/>
      <w:marBottom w:val="0"/>
      <w:divBdr>
        <w:top w:val="none" w:sz="0" w:space="0" w:color="auto"/>
        <w:left w:val="none" w:sz="0" w:space="0" w:color="auto"/>
        <w:bottom w:val="none" w:sz="0" w:space="0" w:color="auto"/>
        <w:right w:val="none" w:sz="0" w:space="0" w:color="auto"/>
      </w:divBdr>
      <w:divsChild>
        <w:div w:id="798719586">
          <w:marLeft w:val="0"/>
          <w:marRight w:val="0"/>
          <w:marTop w:val="0"/>
          <w:marBottom w:val="0"/>
          <w:divBdr>
            <w:top w:val="none" w:sz="0" w:space="0" w:color="auto"/>
            <w:left w:val="none" w:sz="0" w:space="0" w:color="auto"/>
            <w:bottom w:val="none" w:sz="0" w:space="0" w:color="auto"/>
            <w:right w:val="none" w:sz="0" w:space="0" w:color="auto"/>
          </w:divBdr>
          <w:divsChild>
            <w:div w:id="1150364767">
              <w:marLeft w:val="0"/>
              <w:marRight w:val="0"/>
              <w:marTop w:val="0"/>
              <w:marBottom w:val="0"/>
              <w:divBdr>
                <w:top w:val="none" w:sz="0" w:space="0" w:color="auto"/>
                <w:left w:val="none" w:sz="0" w:space="0" w:color="auto"/>
                <w:bottom w:val="none" w:sz="0" w:space="0" w:color="auto"/>
                <w:right w:val="none" w:sz="0" w:space="0" w:color="auto"/>
              </w:divBdr>
              <w:divsChild>
                <w:div w:id="569972579">
                  <w:marLeft w:val="0"/>
                  <w:marRight w:val="0"/>
                  <w:marTop w:val="0"/>
                  <w:marBottom w:val="0"/>
                  <w:divBdr>
                    <w:top w:val="none" w:sz="0" w:space="0" w:color="auto"/>
                    <w:left w:val="none" w:sz="0" w:space="0" w:color="auto"/>
                    <w:bottom w:val="none" w:sz="0" w:space="0" w:color="auto"/>
                    <w:right w:val="none" w:sz="0" w:space="0" w:color="auto"/>
                  </w:divBdr>
                </w:div>
              </w:divsChild>
            </w:div>
            <w:div w:id="352388604">
              <w:marLeft w:val="0"/>
              <w:marRight w:val="0"/>
              <w:marTop w:val="0"/>
              <w:marBottom w:val="0"/>
              <w:divBdr>
                <w:top w:val="none" w:sz="0" w:space="0" w:color="auto"/>
                <w:left w:val="none" w:sz="0" w:space="0" w:color="auto"/>
                <w:bottom w:val="none" w:sz="0" w:space="0" w:color="auto"/>
                <w:right w:val="none" w:sz="0" w:space="0" w:color="auto"/>
              </w:divBdr>
              <w:divsChild>
                <w:div w:id="15802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0948">
          <w:marLeft w:val="0"/>
          <w:marRight w:val="0"/>
          <w:marTop w:val="0"/>
          <w:marBottom w:val="0"/>
          <w:divBdr>
            <w:top w:val="none" w:sz="0" w:space="0" w:color="auto"/>
            <w:left w:val="none" w:sz="0" w:space="0" w:color="auto"/>
            <w:bottom w:val="none" w:sz="0" w:space="0" w:color="auto"/>
            <w:right w:val="none" w:sz="0" w:space="0" w:color="auto"/>
          </w:divBdr>
          <w:divsChild>
            <w:div w:id="800655312">
              <w:marLeft w:val="0"/>
              <w:marRight w:val="0"/>
              <w:marTop w:val="0"/>
              <w:marBottom w:val="0"/>
              <w:divBdr>
                <w:top w:val="none" w:sz="0" w:space="0" w:color="auto"/>
                <w:left w:val="none" w:sz="0" w:space="0" w:color="auto"/>
                <w:bottom w:val="none" w:sz="0" w:space="0" w:color="auto"/>
                <w:right w:val="none" w:sz="0" w:space="0" w:color="auto"/>
              </w:divBdr>
              <w:divsChild>
                <w:div w:id="388770833">
                  <w:marLeft w:val="0"/>
                  <w:marRight w:val="0"/>
                  <w:marTop w:val="0"/>
                  <w:marBottom w:val="0"/>
                  <w:divBdr>
                    <w:top w:val="none" w:sz="0" w:space="0" w:color="auto"/>
                    <w:left w:val="none" w:sz="0" w:space="0" w:color="auto"/>
                    <w:bottom w:val="none" w:sz="0" w:space="0" w:color="auto"/>
                    <w:right w:val="none" w:sz="0" w:space="0" w:color="auto"/>
                  </w:divBdr>
                </w:div>
              </w:divsChild>
            </w:div>
            <w:div w:id="1381826810">
              <w:marLeft w:val="0"/>
              <w:marRight w:val="0"/>
              <w:marTop w:val="0"/>
              <w:marBottom w:val="0"/>
              <w:divBdr>
                <w:top w:val="none" w:sz="0" w:space="0" w:color="auto"/>
                <w:left w:val="none" w:sz="0" w:space="0" w:color="auto"/>
                <w:bottom w:val="none" w:sz="0" w:space="0" w:color="auto"/>
                <w:right w:val="none" w:sz="0" w:space="0" w:color="auto"/>
              </w:divBdr>
              <w:divsChild>
                <w:div w:id="10887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3662">
          <w:marLeft w:val="0"/>
          <w:marRight w:val="0"/>
          <w:marTop w:val="0"/>
          <w:marBottom w:val="0"/>
          <w:divBdr>
            <w:top w:val="none" w:sz="0" w:space="0" w:color="auto"/>
            <w:left w:val="none" w:sz="0" w:space="0" w:color="auto"/>
            <w:bottom w:val="none" w:sz="0" w:space="0" w:color="auto"/>
            <w:right w:val="none" w:sz="0" w:space="0" w:color="auto"/>
          </w:divBdr>
          <w:divsChild>
            <w:div w:id="387387784">
              <w:marLeft w:val="0"/>
              <w:marRight w:val="0"/>
              <w:marTop w:val="0"/>
              <w:marBottom w:val="0"/>
              <w:divBdr>
                <w:top w:val="none" w:sz="0" w:space="0" w:color="auto"/>
                <w:left w:val="none" w:sz="0" w:space="0" w:color="auto"/>
                <w:bottom w:val="none" w:sz="0" w:space="0" w:color="auto"/>
                <w:right w:val="none" w:sz="0" w:space="0" w:color="auto"/>
              </w:divBdr>
              <w:divsChild>
                <w:div w:id="1102646343">
                  <w:marLeft w:val="0"/>
                  <w:marRight w:val="0"/>
                  <w:marTop w:val="0"/>
                  <w:marBottom w:val="0"/>
                  <w:divBdr>
                    <w:top w:val="none" w:sz="0" w:space="0" w:color="auto"/>
                    <w:left w:val="none" w:sz="0" w:space="0" w:color="auto"/>
                    <w:bottom w:val="none" w:sz="0" w:space="0" w:color="auto"/>
                    <w:right w:val="none" w:sz="0" w:space="0" w:color="auto"/>
                  </w:divBdr>
                </w:div>
              </w:divsChild>
            </w:div>
            <w:div w:id="2066444765">
              <w:marLeft w:val="0"/>
              <w:marRight w:val="0"/>
              <w:marTop w:val="0"/>
              <w:marBottom w:val="0"/>
              <w:divBdr>
                <w:top w:val="none" w:sz="0" w:space="0" w:color="auto"/>
                <w:left w:val="none" w:sz="0" w:space="0" w:color="auto"/>
                <w:bottom w:val="none" w:sz="0" w:space="0" w:color="auto"/>
                <w:right w:val="none" w:sz="0" w:space="0" w:color="auto"/>
              </w:divBdr>
              <w:divsChild>
                <w:div w:id="7399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6693">
          <w:marLeft w:val="0"/>
          <w:marRight w:val="0"/>
          <w:marTop w:val="0"/>
          <w:marBottom w:val="0"/>
          <w:divBdr>
            <w:top w:val="none" w:sz="0" w:space="0" w:color="auto"/>
            <w:left w:val="none" w:sz="0" w:space="0" w:color="auto"/>
            <w:bottom w:val="none" w:sz="0" w:space="0" w:color="auto"/>
            <w:right w:val="none" w:sz="0" w:space="0" w:color="auto"/>
          </w:divBdr>
          <w:divsChild>
            <w:div w:id="1520778786">
              <w:marLeft w:val="0"/>
              <w:marRight w:val="0"/>
              <w:marTop w:val="0"/>
              <w:marBottom w:val="0"/>
              <w:divBdr>
                <w:top w:val="none" w:sz="0" w:space="0" w:color="auto"/>
                <w:left w:val="none" w:sz="0" w:space="0" w:color="auto"/>
                <w:bottom w:val="none" w:sz="0" w:space="0" w:color="auto"/>
                <w:right w:val="none" w:sz="0" w:space="0" w:color="auto"/>
              </w:divBdr>
              <w:divsChild>
                <w:div w:id="683019737">
                  <w:marLeft w:val="0"/>
                  <w:marRight w:val="0"/>
                  <w:marTop w:val="0"/>
                  <w:marBottom w:val="0"/>
                  <w:divBdr>
                    <w:top w:val="none" w:sz="0" w:space="0" w:color="auto"/>
                    <w:left w:val="none" w:sz="0" w:space="0" w:color="auto"/>
                    <w:bottom w:val="none" w:sz="0" w:space="0" w:color="auto"/>
                    <w:right w:val="none" w:sz="0" w:space="0" w:color="auto"/>
                  </w:divBdr>
                </w:div>
              </w:divsChild>
            </w:div>
            <w:div w:id="1932547813">
              <w:marLeft w:val="0"/>
              <w:marRight w:val="0"/>
              <w:marTop w:val="0"/>
              <w:marBottom w:val="0"/>
              <w:divBdr>
                <w:top w:val="none" w:sz="0" w:space="0" w:color="auto"/>
                <w:left w:val="none" w:sz="0" w:space="0" w:color="auto"/>
                <w:bottom w:val="none" w:sz="0" w:space="0" w:color="auto"/>
                <w:right w:val="none" w:sz="0" w:space="0" w:color="auto"/>
              </w:divBdr>
              <w:divsChild>
                <w:div w:id="11774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8375">
          <w:marLeft w:val="0"/>
          <w:marRight w:val="0"/>
          <w:marTop w:val="0"/>
          <w:marBottom w:val="0"/>
          <w:divBdr>
            <w:top w:val="none" w:sz="0" w:space="0" w:color="auto"/>
            <w:left w:val="none" w:sz="0" w:space="0" w:color="auto"/>
            <w:bottom w:val="none" w:sz="0" w:space="0" w:color="auto"/>
            <w:right w:val="none" w:sz="0" w:space="0" w:color="auto"/>
          </w:divBdr>
          <w:divsChild>
            <w:div w:id="12735010">
              <w:marLeft w:val="0"/>
              <w:marRight w:val="0"/>
              <w:marTop w:val="0"/>
              <w:marBottom w:val="0"/>
              <w:divBdr>
                <w:top w:val="none" w:sz="0" w:space="0" w:color="auto"/>
                <w:left w:val="none" w:sz="0" w:space="0" w:color="auto"/>
                <w:bottom w:val="none" w:sz="0" w:space="0" w:color="auto"/>
                <w:right w:val="none" w:sz="0" w:space="0" w:color="auto"/>
              </w:divBdr>
              <w:divsChild>
                <w:div w:id="1157763173">
                  <w:marLeft w:val="0"/>
                  <w:marRight w:val="0"/>
                  <w:marTop w:val="0"/>
                  <w:marBottom w:val="0"/>
                  <w:divBdr>
                    <w:top w:val="none" w:sz="0" w:space="0" w:color="auto"/>
                    <w:left w:val="none" w:sz="0" w:space="0" w:color="auto"/>
                    <w:bottom w:val="none" w:sz="0" w:space="0" w:color="auto"/>
                    <w:right w:val="none" w:sz="0" w:space="0" w:color="auto"/>
                  </w:divBdr>
                </w:div>
              </w:divsChild>
            </w:div>
            <w:div w:id="1388409337">
              <w:marLeft w:val="0"/>
              <w:marRight w:val="0"/>
              <w:marTop w:val="0"/>
              <w:marBottom w:val="0"/>
              <w:divBdr>
                <w:top w:val="none" w:sz="0" w:space="0" w:color="auto"/>
                <w:left w:val="none" w:sz="0" w:space="0" w:color="auto"/>
                <w:bottom w:val="none" w:sz="0" w:space="0" w:color="auto"/>
                <w:right w:val="none" w:sz="0" w:space="0" w:color="auto"/>
              </w:divBdr>
              <w:divsChild>
                <w:div w:id="2295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2630">
          <w:marLeft w:val="0"/>
          <w:marRight w:val="0"/>
          <w:marTop w:val="0"/>
          <w:marBottom w:val="0"/>
          <w:divBdr>
            <w:top w:val="none" w:sz="0" w:space="0" w:color="auto"/>
            <w:left w:val="none" w:sz="0" w:space="0" w:color="auto"/>
            <w:bottom w:val="none" w:sz="0" w:space="0" w:color="auto"/>
            <w:right w:val="none" w:sz="0" w:space="0" w:color="auto"/>
          </w:divBdr>
          <w:divsChild>
            <w:div w:id="1953239928">
              <w:marLeft w:val="0"/>
              <w:marRight w:val="0"/>
              <w:marTop w:val="0"/>
              <w:marBottom w:val="0"/>
              <w:divBdr>
                <w:top w:val="none" w:sz="0" w:space="0" w:color="auto"/>
                <w:left w:val="none" w:sz="0" w:space="0" w:color="auto"/>
                <w:bottom w:val="none" w:sz="0" w:space="0" w:color="auto"/>
                <w:right w:val="none" w:sz="0" w:space="0" w:color="auto"/>
              </w:divBdr>
              <w:divsChild>
                <w:div w:id="774204840">
                  <w:marLeft w:val="0"/>
                  <w:marRight w:val="0"/>
                  <w:marTop w:val="0"/>
                  <w:marBottom w:val="0"/>
                  <w:divBdr>
                    <w:top w:val="none" w:sz="0" w:space="0" w:color="auto"/>
                    <w:left w:val="none" w:sz="0" w:space="0" w:color="auto"/>
                    <w:bottom w:val="none" w:sz="0" w:space="0" w:color="auto"/>
                    <w:right w:val="none" w:sz="0" w:space="0" w:color="auto"/>
                  </w:divBdr>
                </w:div>
              </w:divsChild>
            </w:div>
            <w:div w:id="17123407">
              <w:marLeft w:val="0"/>
              <w:marRight w:val="0"/>
              <w:marTop w:val="0"/>
              <w:marBottom w:val="0"/>
              <w:divBdr>
                <w:top w:val="none" w:sz="0" w:space="0" w:color="auto"/>
                <w:left w:val="none" w:sz="0" w:space="0" w:color="auto"/>
                <w:bottom w:val="none" w:sz="0" w:space="0" w:color="auto"/>
                <w:right w:val="none" w:sz="0" w:space="0" w:color="auto"/>
              </w:divBdr>
              <w:divsChild>
                <w:div w:id="17296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5912">
          <w:marLeft w:val="0"/>
          <w:marRight w:val="0"/>
          <w:marTop w:val="0"/>
          <w:marBottom w:val="0"/>
          <w:divBdr>
            <w:top w:val="none" w:sz="0" w:space="0" w:color="auto"/>
            <w:left w:val="none" w:sz="0" w:space="0" w:color="auto"/>
            <w:bottom w:val="none" w:sz="0" w:space="0" w:color="auto"/>
            <w:right w:val="none" w:sz="0" w:space="0" w:color="auto"/>
          </w:divBdr>
          <w:divsChild>
            <w:div w:id="869336868">
              <w:marLeft w:val="0"/>
              <w:marRight w:val="0"/>
              <w:marTop w:val="0"/>
              <w:marBottom w:val="0"/>
              <w:divBdr>
                <w:top w:val="none" w:sz="0" w:space="0" w:color="auto"/>
                <w:left w:val="none" w:sz="0" w:space="0" w:color="auto"/>
                <w:bottom w:val="none" w:sz="0" w:space="0" w:color="auto"/>
                <w:right w:val="none" w:sz="0" w:space="0" w:color="auto"/>
              </w:divBdr>
              <w:divsChild>
                <w:div w:id="1223759948">
                  <w:marLeft w:val="0"/>
                  <w:marRight w:val="0"/>
                  <w:marTop w:val="0"/>
                  <w:marBottom w:val="0"/>
                  <w:divBdr>
                    <w:top w:val="none" w:sz="0" w:space="0" w:color="auto"/>
                    <w:left w:val="none" w:sz="0" w:space="0" w:color="auto"/>
                    <w:bottom w:val="none" w:sz="0" w:space="0" w:color="auto"/>
                    <w:right w:val="none" w:sz="0" w:space="0" w:color="auto"/>
                  </w:divBdr>
                </w:div>
              </w:divsChild>
            </w:div>
            <w:div w:id="964119826">
              <w:marLeft w:val="0"/>
              <w:marRight w:val="0"/>
              <w:marTop w:val="0"/>
              <w:marBottom w:val="0"/>
              <w:divBdr>
                <w:top w:val="none" w:sz="0" w:space="0" w:color="auto"/>
                <w:left w:val="none" w:sz="0" w:space="0" w:color="auto"/>
                <w:bottom w:val="none" w:sz="0" w:space="0" w:color="auto"/>
                <w:right w:val="none" w:sz="0" w:space="0" w:color="auto"/>
              </w:divBdr>
              <w:divsChild>
                <w:div w:id="1225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621">
          <w:marLeft w:val="0"/>
          <w:marRight w:val="0"/>
          <w:marTop w:val="0"/>
          <w:marBottom w:val="0"/>
          <w:divBdr>
            <w:top w:val="none" w:sz="0" w:space="0" w:color="auto"/>
            <w:left w:val="none" w:sz="0" w:space="0" w:color="auto"/>
            <w:bottom w:val="none" w:sz="0" w:space="0" w:color="auto"/>
            <w:right w:val="none" w:sz="0" w:space="0" w:color="auto"/>
          </w:divBdr>
          <w:divsChild>
            <w:div w:id="1290939943">
              <w:marLeft w:val="0"/>
              <w:marRight w:val="0"/>
              <w:marTop w:val="0"/>
              <w:marBottom w:val="0"/>
              <w:divBdr>
                <w:top w:val="none" w:sz="0" w:space="0" w:color="auto"/>
                <w:left w:val="none" w:sz="0" w:space="0" w:color="auto"/>
                <w:bottom w:val="none" w:sz="0" w:space="0" w:color="auto"/>
                <w:right w:val="none" w:sz="0" w:space="0" w:color="auto"/>
              </w:divBdr>
              <w:divsChild>
                <w:div w:id="962535678">
                  <w:marLeft w:val="0"/>
                  <w:marRight w:val="0"/>
                  <w:marTop w:val="0"/>
                  <w:marBottom w:val="0"/>
                  <w:divBdr>
                    <w:top w:val="none" w:sz="0" w:space="0" w:color="auto"/>
                    <w:left w:val="none" w:sz="0" w:space="0" w:color="auto"/>
                    <w:bottom w:val="none" w:sz="0" w:space="0" w:color="auto"/>
                    <w:right w:val="none" w:sz="0" w:space="0" w:color="auto"/>
                  </w:divBdr>
                </w:div>
              </w:divsChild>
            </w:div>
            <w:div w:id="425073744">
              <w:marLeft w:val="0"/>
              <w:marRight w:val="0"/>
              <w:marTop w:val="0"/>
              <w:marBottom w:val="0"/>
              <w:divBdr>
                <w:top w:val="none" w:sz="0" w:space="0" w:color="auto"/>
                <w:left w:val="none" w:sz="0" w:space="0" w:color="auto"/>
                <w:bottom w:val="none" w:sz="0" w:space="0" w:color="auto"/>
                <w:right w:val="none" w:sz="0" w:space="0" w:color="auto"/>
              </w:divBdr>
              <w:divsChild>
                <w:div w:id="3033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1668">
          <w:marLeft w:val="0"/>
          <w:marRight w:val="0"/>
          <w:marTop w:val="0"/>
          <w:marBottom w:val="0"/>
          <w:divBdr>
            <w:top w:val="none" w:sz="0" w:space="0" w:color="auto"/>
            <w:left w:val="none" w:sz="0" w:space="0" w:color="auto"/>
            <w:bottom w:val="none" w:sz="0" w:space="0" w:color="auto"/>
            <w:right w:val="none" w:sz="0" w:space="0" w:color="auto"/>
          </w:divBdr>
          <w:divsChild>
            <w:div w:id="1850832848">
              <w:marLeft w:val="0"/>
              <w:marRight w:val="0"/>
              <w:marTop w:val="0"/>
              <w:marBottom w:val="0"/>
              <w:divBdr>
                <w:top w:val="none" w:sz="0" w:space="0" w:color="auto"/>
                <w:left w:val="none" w:sz="0" w:space="0" w:color="auto"/>
                <w:bottom w:val="none" w:sz="0" w:space="0" w:color="auto"/>
                <w:right w:val="none" w:sz="0" w:space="0" w:color="auto"/>
              </w:divBdr>
              <w:divsChild>
                <w:div w:id="1046417752">
                  <w:marLeft w:val="0"/>
                  <w:marRight w:val="0"/>
                  <w:marTop w:val="0"/>
                  <w:marBottom w:val="0"/>
                  <w:divBdr>
                    <w:top w:val="none" w:sz="0" w:space="0" w:color="auto"/>
                    <w:left w:val="none" w:sz="0" w:space="0" w:color="auto"/>
                    <w:bottom w:val="none" w:sz="0" w:space="0" w:color="auto"/>
                    <w:right w:val="none" w:sz="0" w:space="0" w:color="auto"/>
                  </w:divBdr>
                </w:div>
              </w:divsChild>
            </w:div>
            <w:div w:id="1280378825">
              <w:marLeft w:val="0"/>
              <w:marRight w:val="0"/>
              <w:marTop w:val="0"/>
              <w:marBottom w:val="0"/>
              <w:divBdr>
                <w:top w:val="none" w:sz="0" w:space="0" w:color="auto"/>
                <w:left w:val="none" w:sz="0" w:space="0" w:color="auto"/>
                <w:bottom w:val="none" w:sz="0" w:space="0" w:color="auto"/>
                <w:right w:val="none" w:sz="0" w:space="0" w:color="auto"/>
              </w:divBdr>
              <w:divsChild>
                <w:div w:id="78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158">
          <w:marLeft w:val="0"/>
          <w:marRight w:val="0"/>
          <w:marTop w:val="0"/>
          <w:marBottom w:val="0"/>
          <w:divBdr>
            <w:top w:val="none" w:sz="0" w:space="0" w:color="auto"/>
            <w:left w:val="none" w:sz="0" w:space="0" w:color="auto"/>
            <w:bottom w:val="none" w:sz="0" w:space="0" w:color="auto"/>
            <w:right w:val="none" w:sz="0" w:space="0" w:color="auto"/>
          </w:divBdr>
          <w:divsChild>
            <w:div w:id="546719600">
              <w:marLeft w:val="0"/>
              <w:marRight w:val="0"/>
              <w:marTop w:val="0"/>
              <w:marBottom w:val="0"/>
              <w:divBdr>
                <w:top w:val="none" w:sz="0" w:space="0" w:color="auto"/>
                <w:left w:val="none" w:sz="0" w:space="0" w:color="auto"/>
                <w:bottom w:val="none" w:sz="0" w:space="0" w:color="auto"/>
                <w:right w:val="none" w:sz="0" w:space="0" w:color="auto"/>
              </w:divBdr>
              <w:divsChild>
                <w:div w:id="1193686524">
                  <w:marLeft w:val="0"/>
                  <w:marRight w:val="0"/>
                  <w:marTop w:val="0"/>
                  <w:marBottom w:val="0"/>
                  <w:divBdr>
                    <w:top w:val="none" w:sz="0" w:space="0" w:color="auto"/>
                    <w:left w:val="none" w:sz="0" w:space="0" w:color="auto"/>
                    <w:bottom w:val="none" w:sz="0" w:space="0" w:color="auto"/>
                    <w:right w:val="none" w:sz="0" w:space="0" w:color="auto"/>
                  </w:divBdr>
                </w:div>
              </w:divsChild>
            </w:div>
            <w:div w:id="1249507">
              <w:marLeft w:val="0"/>
              <w:marRight w:val="0"/>
              <w:marTop w:val="0"/>
              <w:marBottom w:val="0"/>
              <w:divBdr>
                <w:top w:val="none" w:sz="0" w:space="0" w:color="auto"/>
                <w:left w:val="none" w:sz="0" w:space="0" w:color="auto"/>
                <w:bottom w:val="none" w:sz="0" w:space="0" w:color="auto"/>
                <w:right w:val="none" w:sz="0" w:space="0" w:color="auto"/>
              </w:divBdr>
              <w:divsChild>
                <w:div w:id="948851471">
                  <w:marLeft w:val="0"/>
                  <w:marRight w:val="0"/>
                  <w:marTop w:val="0"/>
                  <w:marBottom w:val="0"/>
                  <w:divBdr>
                    <w:top w:val="none" w:sz="0" w:space="0" w:color="auto"/>
                    <w:left w:val="none" w:sz="0" w:space="0" w:color="auto"/>
                    <w:bottom w:val="none" w:sz="0" w:space="0" w:color="auto"/>
                    <w:right w:val="none" w:sz="0" w:space="0" w:color="auto"/>
                  </w:divBdr>
                </w:div>
              </w:divsChild>
            </w:div>
            <w:div w:id="2040353280">
              <w:marLeft w:val="0"/>
              <w:marRight w:val="0"/>
              <w:marTop w:val="0"/>
              <w:marBottom w:val="0"/>
              <w:divBdr>
                <w:top w:val="none" w:sz="0" w:space="0" w:color="auto"/>
                <w:left w:val="none" w:sz="0" w:space="0" w:color="auto"/>
                <w:bottom w:val="none" w:sz="0" w:space="0" w:color="auto"/>
                <w:right w:val="none" w:sz="0" w:space="0" w:color="auto"/>
              </w:divBdr>
              <w:divsChild>
                <w:div w:id="1822230071">
                  <w:marLeft w:val="0"/>
                  <w:marRight w:val="0"/>
                  <w:marTop w:val="0"/>
                  <w:marBottom w:val="0"/>
                  <w:divBdr>
                    <w:top w:val="none" w:sz="0" w:space="0" w:color="auto"/>
                    <w:left w:val="none" w:sz="0" w:space="0" w:color="auto"/>
                    <w:bottom w:val="none" w:sz="0" w:space="0" w:color="auto"/>
                    <w:right w:val="none" w:sz="0" w:space="0" w:color="auto"/>
                  </w:divBdr>
                </w:div>
              </w:divsChild>
            </w:div>
            <w:div w:id="1269776721">
              <w:marLeft w:val="0"/>
              <w:marRight w:val="0"/>
              <w:marTop w:val="0"/>
              <w:marBottom w:val="0"/>
              <w:divBdr>
                <w:top w:val="none" w:sz="0" w:space="0" w:color="auto"/>
                <w:left w:val="none" w:sz="0" w:space="0" w:color="auto"/>
                <w:bottom w:val="none" w:sz="0" w:space="0" w:color="auto"/>
                <w:right w:val="none" w:sz="0" w:space="0" w:color="auto"/>
              </w:divBdr>
              <w:divsChild>
                <w:div w:id="16993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3313</Words>
  <Characters>18223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 Pretel</dc:creator>
  <cp:keywords/>
  <dc:description/>
  <cp:lastModifiedBy>alfonso</cp:lastModifiedBy>
  <cp:revision>2</cp:revision>
  <dcterms:created xsi:type="dcterms:W3CDTF">2020-05-25T11:21:00Z</dcterms:created>
  <dcterms:modified xsi:type="dcterms:W3CDTF">2020-05-25T11:21:00Z</dcterms:modified>
</cp:coreProperties>
</file>